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1a (Specification)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Schedule sets out what we and our buyers want.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Supplier must only provide the Deliverables for the Lot that they have been appointed to.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all Lots and/or Deliverables, the Supplier must help Buyers comply with any specific applicable Standards of the Buyer.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284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Deliverables and any Standards set out in Paragraph 1 below may be refined (to the extent permitted and set out in the Order Form) by a Buyer during a Further Competition Procedure to reflect its Deliverables Requirements for entering a particular Call-Off Contract.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120" w:before="120" w:line="240" w:lineRule="auto"/>
        <w:rPr>
          <w:rFonts w:ascii="Arial" w:cs="Arial" w:eastAsia="Arial" w:hAnsi="Arial"/>
          <w:b w:val="1"/>
          <w:color w:val="222222"/>
          <w:sz w:val="32"/>
          <w:szCs w:val="32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Our social value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These are our priorities in this procurement which shall be implemented by all Suppliers unless otherwise stated: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9"/>
        <w:gridCol w:w="6887"/>
        <w:tblGridChange w:id="0">
          <w:tblGrid>
            <w:gridCol w:w="2129"/>
            <w:gridCol w:w="6887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Value Theme: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Value Priority: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2.0" w:type="dxa"/>
              <w:right w:w="102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Tackling Economic Inequality</w:t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ind w:left="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Create new businesses, new jobs and new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numPr>
                <w:ilvl w:val="0"/>
                <w:numId w:val="9"/>
              </w:numPr>
              <w:spacing w:after="120" w:before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2.3: Education and training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1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Skills, training and apprenticeships (to be implemented once a Suppliers RM6280 framework spend exceeds £5m)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apprenticeship opportunities targeted to residents local to where the service is being delivered</w:t>
            </w:r>
          </w:p>
        </w:tc>
      </w:tr>
      <w:tr>
        <w:trPr>
          <w:cantSplit w:val="0"/>
          <w:tblHeader w:val="0"/>
        </w:trPr>
        <w:tc>
          <w:tcPr>
            <w:tcMar>
              <w:left w:w="102.0" w:type="dxa"/>
              <w:right w:w="102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Tackling Economic Inequality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ind w:left="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Create new businesses, new jobs and new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spacing w:before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2.2: Employment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9"/>
              </w:numPr>
              <w:spacing w:after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2.3: Education and training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Support people to access work and improve employability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help local residents to access opportunities by advertising all vacancies for staff via</w:t>
            </w:r>
            <w:hyperlink r:id="rId6">
              <w:r w:rsidDel="00000000" w:rsidR="00000000" w:rsidRPr="00000000">
                <w:rPr>
                  <w:rtl w:val="0"/>
                </w:rPr>
                <w:t xml:space="preserve"> Universal Jobmatch</w:t>
              </w:r>
            </w:hyperlink>
            <w:r w:rsidDel="00000000" w:rsidR="00000000" w:rsidRPr="00000000">
              <w:rPr>
                <w:rtl w:val="0"/>
              </w:rPr>
              <w:t xml:space="preserve"> (in addition to any other recruitment agencies or actions you use to recruit staff)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support people into work, and back into work, by: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making appropriate use of </w:t>
            </w:r>
            <w:hyperlink r:id="rId7">
              <w:r w:rsidDel="00000000" w:rsidR="00000000" w:rsidRPr="00000000">
                <w:rPr>
                  <w:rtl w:val="0"/>
                </w:rPr>
                <w:t xml:space="preserve">Access to Work</w:t>
              </w:r>
            </w:hyperlink>
            <w:r w:rsidDel="00000000" w:rsidR="00000000" w:rsidRPr="00000000">
              <w:rPr>
                <w:rtl w:val="0"/>
              </w:rPr>
              <w:t xml:space="preserve"> to support recruit and retain disabled workers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work with the </w:t>
            </w:r>
            <w:hyperlink r:id="rId8">
              <w:r w:rsidDel="00000000" w:rsidR="00000000" w:rsidRPr="00000000">
                <w:rPr>
                  <w:rtl w:val="0"/>
                </w:rPr>
                <w:t xml:space="preserve">Career Transition Partnership (CTP),</w:t>
              </w:r>
            </w:hyperlink>
            <w:r w:rsidDel="00000000" w:rsidR="00000000" w:rsidRPr="00000000">
              <w:rPr>
                <w:rtl w:val="0"/>
              </w:rPr>
              <w:t xml:space="preserve"> in order to establish a tailored employment pathway for Service Leavers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support the employment of service spouses and partners by offering a degree of flexibility in granting  leave before, during and after a partner’s deployment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introducing flexible working practices for staff who are carers or service spouses (before, during and after a partner’s deployment)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providing mock interviews, CV advice, careers guidance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Tackling Economic Inequality</w:t>
            </w:r>
          </w:p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Policy Outcome: Increase supply chain resilience and capacity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0"/>
              </w:numPr>
              <w:spacing w:before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3.1: Diverse supply chains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0"/>
              </w:numPr>
              <w:spacing w:after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3.4: Collaboration throughout the supply chain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sign up to the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prompt payment code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where appropriate, pay suppliers and subcontractors on time: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pay all undisputed invoices within 30 days, and in all cases within a maximum of 60 days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pay within the terms agreed at the outset of the contract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don’t change payment terms retrospectively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don’t change practice on length of payment for smaller companies on unreasonable grounds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give clear guidance to suppliers: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provide clear, easily accessible guidance on payment procedures 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have a system for dealing with complaints and disputes which is communicated to suppliers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2"/>
              </w:numPr>
              <w:spacing w:after="120" w:before="120" w:lineRule="auto"/>
              <w:ind w:left="1063" w:hanging="283"/>
              <w:rPr/>
            </w:pPr>
            <w:r w:rsidDel="00000000" w:rsidR="00000000" w:rsidRPr="00000000">
              <w:rPr>
                <w:rtl w:val="0"/>
              </w:rPr>
              <w:t xml:space="preserve">advise suppliers promptly if there is any reason why an invoice will not be paid to the agreed terms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encourage good practice by requiring the same of your subcontractors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Fighting Climate Change</w:t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Effective stewardship of the environment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MAC 4.1: Adddditional environmental benefits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MAC 4.2: Influence environmental protection and improvement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1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Effective stewardship of the environment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commit to improving environmental practice with SMART (specific, measurable, achievable, realistic and time bound) targets and evidence these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where appropriate, and Lot dependent, provide customers guidance to support them in demonstrably: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2"/>
              </w:numPr>
              <w:spacing w:after="120" w:before="120" w:lineRule="auto"/>
              <w:ind w:left="1017" w:hanging="283"/>
              <w:rPr/>
            </w:pPr>
            <w:r w:rsidDel="00000000" w:rsidR="00000000" w:rsidRPr="00000000">
              <w:rPr>
                <w:rtl w:val="0"/>
              </w:rPr>
              <w:t xml:space="preserve">reducing overall energy consumption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2"/>
              </w:numPr>
              <w:spacing w:after="120" w:before="120" w:lineRule="auto"/>
              <w:ind w:left="1017" w:hanging="283"/>
              <w:rPr/>
            </w:pPr>
            <w:r w:rsidDel="00000000" w:rsidR="00000000" w:rsidRPr="00000000">
              <w:rPr>
                <w:rtl w:val="0"/>
              </w:rPr>
              <w:t xml:space="preserve">increasing energy efficiency including increasing the integration of systems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2"/>
              </w:numPr>
              <w:spacing w:after="120" w:before="120" w:lineRule="auto"/>
              <w:ind w:left="1017" w:hanging="283"/>
              <w:rPr/>
            </w:pPr>
            <w:r w:rsidDel="00000000" w:rsidR="00000000" w:rsidRPr="00000000">
              <w:rPr>
                <w:rtl w:val="0"/>
              </w:rPr>
              <w:t xml:space="preserve">reducing carbon emissions from infrastructure and operations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7"/>
              </w:numPr>
              <w:spacing w:after="120" w:before="120" w:lineRule="auto"/>
              <w:ind w:left="1063" w:hanging="295"/>
              <w:rPr/>
            </w:pPr>
            <w:r w:rsidDel="00000000" w:rsidR="00000000" w:rsidRPr="00000000">
              <w:rPr>
                <w:rtl w:val="0"/>
              </w:rPr>
              <w:t xml:space="preserve">where appropriate, and Lot dependent, provide customers guidance to support them in choosing the most environmentally friendly product or solution for them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Equal Opportunity</w:t>
            </w:r>
          </w:p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Reduce the disability employment gap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ind w:left="357" w:hanging="357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MAC 5.1: Increase representation of disabled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ind w:left="357" w:hanging="357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MAC 5.2: Supporting disabled people in developing new skills 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   sign up, and encouraging subcontractors to sign up, to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Disability Confident</w:t>
              </w:r>
            </w:hyperlink>
            <w:r w:rsidDel="00000000" w:rsidR="00000000" w:rsidRPr="00000000">
              <w:rPr>
                <w:rtl w:val="0"/>
              </w:rPr>
              <w:t xml:space="preserve"> (a scheme that supports employers to attract, recruit and retain disabled people)  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declare support for disabled workers by displaying the values and behaviours set out in Disability Confident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offer disabled people, or other protected groups, interviews under a guaranteed interview scheme for vacancies (where the disabled people or protected groups meet the minimum criteria for such vacancies)</w:t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Equal Opportunity</w:t>
            </w:r>
          </w:p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Tackle workforce inequality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 6.1: Tackling inequality in the contract workforce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at least annually, report your progress on the: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4"/>
              </w:numPr>
              <w:spacing w:after="120" w:before="120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gender pay gap 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4"/>
              </w:numPr>
              <w:spacing w:after="120" w:before="120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ethnic minority representation in your workforce 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4"/>
              </w:numPr>
              <w:spacing w:after="120" w:before="120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measuring progress towards representative recruitment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sign up to the</w:t>
            </w:r>
            <w:hyperlink r:id="rId11">
              <w:r w:rsidDel="00000000" w:rsidR="00000000" w:rsidRPr="00000000">
                <w:rPr>
                  <w:rtl w:val="0"/>
                </w:rPr>
                <w:t xml:space="preserve"> armed forces covenant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work towards achieving WCAG 2.1 level AA in order to make digital services, websites and apps accessible to everyone, including users with visual, hearing, mobility and cognitive impairments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Equal Opportunity</w:t>
            </w:r>
          </w:p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Tackle workforce inequality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1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MAC 6.3: Identifying and managing the risks of modern slavery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keepNext w:val="0"/>
              <w:keepLines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Register and comply with the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4"/>
                  <w:szCs w:val="24"/>
                  <w:highlight w:val="white"/>
                  <w:u w:val="single"/>
                  <w:rtl w:val="0"/>
                </w:rPr>
                <w:t xml:space="preserve">Modern Slavery Assessment Tool (</w:t>
              </w:r>
            </w:hyperlink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sz w:val="24"/>
                  <w:szCs w:val="24"/>
                  <w:u w:val="single"/>
                  <w:rtl w:val="0"/>
                </w:rPr>
                <w:t xml:space="preserve">MSAT)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3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clearly set out and publish your policy on modern slavery and human rights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3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monitor labour standards throughout your supply chain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3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develop a code of conduct for suppliers which includes all of the following provisions</w:t>
            </w:r>
          </w:p>
          <w:p w:rsidR="00000000" w:rsidDel="00000000" w:rsidP="00000000" w:rsidRDefault="00000000" w:rsidRPr="00000000" w14:paraId="0000004F">
            <w:pPr>
              <w:numPr>
                <w:ilvl w:val="1"/>
                <w:numId w:val="13"/>
              </w:numPr>
              <w:spacing w:after="120" w:before="120" w:lineRule="auto"/>
              <w:ind w:left="1017" w:hanging="318"/>
              <w:rPr/>
            </w:pPr>
            <w:r w:rsidDel="00000000" w:rsidR="00000000" w:rsidRPr="00000000">
              <w:rPr>
                <w:rtl w:val="0"/>
              </w:rPr>
              <w:t xml:space="preserve">freedom of employees to terminate employment</w:t>
            </w:r>
          </w:p>
          <w:p w:rsidR="00000000" w:rsidDel="00000000" w:rsidP="00000000" w:rsidRDefault="00000000" w:rsidRPr="00000000" w14:paraId="00000050">
            <w:pPr>
              <w:numPr>
                <w:ilvl w:val="1"/>
                <w:numId w:val="13"/>
              </w:numPr>
              <w:spacing w:after="120" w:before="120" w:lineRule="auto"/>
              <w:ind w:left="1017" w:hanging="318"/>
              <w:rPr/>
            </w:pPr>
            <w:r w:rsidDel="00000000" w:rsidR="00000000" w:rsidRPr="00000000">
              <w:rPr>
                <w:rtl w:val="0"/>
              </w:rPr>
              <w:t xml:space="preserve">freedom of movement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13"/>
              </w:numPr>
              <w:spacing w:after="120" w:before="120" w:lineRule="auto"/>
              <w:ind w:left="1017" w:hanging="318"/>
              <w:rPr/>
            </w:pPr>
            <w:r w:rsidDel="00000000" w:rsidR="00000000" w:rsidRPr="00000000">
              <w:rPr>
                <w:rtl w:val="0"/>
              </w:rPr>
              <w:t xml:space="preserve">prohibits any threat of violence, harassment and intimidation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13"/>
              </w:numPr>
              <w:spacing w:after="120" w:before="120" w:lineRule="auto"/>
              <w:ind w:left="1017" w:hanging="318"/>
              <w:rPr/>
            </w:pPr>
            <w:r w:rsidDel="00000000" w:rsidR="00000000" w:rsidRPr="00000000">
              <w:rPr>
                <w:rtl w:val="0"/>
              </w:rPr>
              <w:t xml:space="preserve">prohibits debt bondage and bonded labour</w:t>
            </w:r>
          </w:p>
          <w:p w:rsidR="00000000" w:rsidDel="00000000" w:rsidP="00000000" w:rsidRDefault="00000000" w:rsidRPr="00000000" w14:paraId="00000053">
            <w:pPr>
              <w:numPr>
                <w:ilvl w:val="1"/>
                <w:numId w:val="13"/>
              </w:numPr>
              <w:spacing w:after="120" w:before="120" w:lineRule="auto"/>
              <w:ind w:left="1017" w:hanging="318"/>
              <w:rPr/>
            </w:pPr>
            <w:r w:rsidDel="00000000" w:rsidR="00000000" w:rsidRPr="00000000">
              <w:rPr>
                <w:rtl w:val="0"/>
              </w:rPr>
              <w:t xml:space="preserve">prohibits compulsory overtime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prohibits the use of worker paid recruitment fees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Wellbeing </w:t>
            </w:r>
          </w:p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Outcome: Improve community integration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11"/>
              </w:numPr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MAC 8.2: Influence to support strong, integrated communities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120" w:before="120" w:lineRule="auto"/>
              <w:ind w:left="709" w:hanging="360"/>
              <w:rPr/>
            </w:pPr>
            <w:r w:rsidDel="00000000" w:rsidR="00000000" w:rsidRPr="00000000">
              <w:rPr>
                <w:rtl w:val="0"/>
              </w:rPr>
              <w:t xml:space="preserve">allocate staff volunteering days to specific local VCSEs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120" w:before="120" w:lineRule="auto"/>
              <w:ind w:left="709" w:hanging="360"/>
              <w:rPr/>
            </w:pPr>
            <w:r w:rsidDel="00000000" w:rsidR="00000000" w:rsidRPr="00000000">
              <w:rPr>
                <w:rtl w:val="0"/>
              </w:rPr>
              <w:t xml:space="preserve">where appropriate, provide facilities for use by community and voluntary organisations. This could be your office, meetings rooms, etc.</w:t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contribute to, or fundraise for, local charities</w:t>
            </w:r>
          </w:p>
        </w:tc>
      </w:tr>
    </w:tbl>
    <w:p w:rsidR="00000000" w:rsidDel="00000000" w:rsidP="00000000" w:rsidRDefault="00000000" w:rsidRPr="00000000" w14:paraId="0000005B">
      <w:pPr>
        <w:shd w:fill="ffffff" w:val="clear"/>
        <w:spacing w:after="120" w:before="12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shd w:fill="ffffff" w:val="clear"/>
        <w:spacing w:after="120" w:before="12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The Buyer can identify specific social value priorities during the Call-Off Procedure, including but not limited to: 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initiatives in association with other published frameworks; and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independent initiatives unique and specific to that Buyer; and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any of the themes or policy outcomes from the Central Government Social Value Model stated within PPN 06/20 or as identified as being relevant within a Call-Off.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120" w:before="120" w:line="240" w:lineRule="auto"/>
        <w:jc w:val="both"/>
        <w:rPr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Specification]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RM6280</w:t>
      <w:tab/>
      <w:t xml:space="preserve">                                           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spacing w:after="0" w:line="240" w:lineRule="auto"/>
      <w:jc w:val="both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v3.2</w:t>
    </w:r>
    <w:r w:rsidDel="00000000" w:rsidR="00000000" w:rsidRPr="00000000">
      <w:rPr>
        <w:rtl w:val="0"/>
      </w:rPr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1a (Specification)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b w:val="1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30"/>
    </w:pPr>
    <w:rPr>
      <w:rFonts w:ascii="Arial" w:cs="Arial" w:eastAsia="Arial" w:hAnsi="Arial"/>
      <w:color w:val="000000"/>
      <w:sz w:val="24"/>
      <w:szCs w:val="24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uk/government/publications/corporate-covenant-pledge" TargetMode="External"/><Relationship Id="rId10" Type="http://schemas.openxmlformats.org/officeDocument/2006/relationships/hyperlink" Target="https://www.gov.uk/government/collections/disability-confident-campaign" TargetMode="External"/><Relationship Id="rId13" Type="http://schemas.openxmlformats.org/officeDocument/2006/relationships/hyperlink" Target="https://supplierregistration.cabinetoffice.gov.uk/msat" TargetMode="External"/><Relationship Id="rId12" Type="http://schemas.openxmlformats.org/officeDocument/2006/relationships/hyperlink" Target="https://supplierregistration.cabinetoffice.gov.uk/ms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bcppcportal.icasework.com/resource?id=29992&amp;db=sbcppc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gov.uk/jobsearch" TargetMode="External"/><Relationship Id="rId7" Type="http://schemas.openxmlformats.org/officeDocument/2006/relationships/hyperlink" Target="https://www.gov.uk/access-to-work" TargetMode="External"/><Relationship Id="rId8" Type="http://schemas.openxmlformats.org/officeDocument/2006/relationships/hyperlink" Target="https://www.ctp.org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