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15B77" w:rsidRDefault="001C4649">
      <w:pPr>
        <w:rPr>
          <w:rFonts w:ascii="Arial" w:eastAsia="Arial" w:hAnsi="Arial" w:cs="Arial"/>
          <w:sz w:val="20"/>
          <w:szCs w:val="20"/>
        </w:rPr>
      </w:pPr>
      <w:bookmarkStart w:id="0" w:name="_GoBack"/>
      <w:bookmarkEnd w:id="0"/>
      <w:r>
        <w:rPr>
          <w:rFonts w:ascii="Arial" w:eastAsia="Arial" w:hAnsi="Arial" w:cs="Arial"/>
          <w:b/>
          <w:sz w:val="36"/>
          <w:szCs w:val="36"/>
        </w:rPr>
        <w:t>Joint Schedule 5 (Corporate Social Responsibility)</w:t>
      </w:r>
    </w:p>
    <w:p w14:paraId="00000002" w14:textId="77777777" w:rsidR="00115B77" w:rsidRDefault="001C4649">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115B77" w:rsidRDefault="001C4649">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115B77" w:rsidRDefault="001C4649">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115B77" w:rsidRDefault="001C4649">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115B77" w:rsidRDefault="001C4649">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115B77" w:rsidRDefault="001C4649">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115B77" w:rsidRDefault="001C4649">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115B77" w:rsidRDefault="001C4649">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115B77" w:rsidRDefault="001C4649">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000000B" w14:textId="77777777" w:rsidR="00115B77" w:rsidRDefault="001C4649">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115B77" w:rsidRDefault="001C4649">
      <w:pPr>
        <w:keepNext/>
        <w:numPr>
          <w:ilvl w:val="1"/>
          <w:numId w:val="1"/>
        </w:numPr>
        <w:spacing w:before="120" w:after="120" w:line="240" w:lineRule="auto"/>
        <w:ind w:left="900" w:hanging="540"/>
      </w:pPr>
      <w:r>
        <w:rPr>
          <w:rFonts w:ascii="Arial" w:eastAsia="Arial" w:hAnsi="Arial" w:cs="Arial"/>
          <w:sz w:val="24"/>
          <w:szCs w:val="24"/>
        </w:rPr>
        <w:t>The Supplier:</w:t>
      </w:r>
    </w:p>
    <w:p w14:paraId="0000000D"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0E"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10"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00000011"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0000012"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17" w14:textId="77777777" w:rsidR="00115B77" w:rsidRDefault="001C4649">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115B77" w:rsidRDefault="001C4649">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9" w14:textId="77777777" w:rsidR="00115B77" w:rsidRDefault="001C4649">
      <w:pPr>
        <w:keepNext/>
        <w:numPr>
          <w:ilvl w:val="1"/>
          <w:numId w:val="1"/>
        </w:numPr>
        <w:spacing w:before="120" w:after="120" w:line="240" w:lineRule="auto"/>
        <w:ind w:left="900" w:hanging="468"/>
      </w:pPr>
      <w:r>
        <w:rPr>
          <w:rFonts w:ascii="Arial" w:eastAsia="Arial" w:hAnsi="Arial" w:cs="Arial"/>
          <w:sz w:val="24"/>
          <w:szCs w:val="24"/>
        </w:rPr>
        <w:t>The Supplier shall:</w:t>
      </w:r>
    </w:p>
    <w:p w14:paraId="0000001A" w14:textId="77777777" w:rsidR="00115B77" w:rsidRDefault="001C4649" w:rsidP="00880079">
      <w:pPr>
        <w:numPr>
          <w:ilvl w:val="2"/>
          <w:numId w:val="1"/>
        </w:numPr>
        <w:tabs>
          <w:tab w:val="left" w:pos="1985"/>
        </w:tabs>
        <w:spacing w:before="120" w:after="120" w:line="240" w:lineRule="auto"/>
        <w:ind w:left="1843" w:hanging="850"/>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77777777" w:rsidR="00115B77" w:rsidRDefault="001C4649" w:rsidP="00880079">
      <w:pPr>
        <w:numPr>
          <w:ilvl w:val="2"/>
          <w:numId w:val="1"/>
        </w:numPr>
        <w:tabs>
          <w:tab w:val="left" w:pos="1985"/>
        </w:tabs>
        <w:spacing w:before="120" w:after="120" w:line="240" w:lineRule="auto"/>
        <w:ind w:left="1843" w:hanging="850"/>
        <w:jc w:val="both"/>
      </w:pPr>
      <w:bookmarkStart w:id="1" w:name="_heading=h.gjdgxs" w:colFirst="0" w:colLast="0"/>
      <w:bookmarkEnd w:id="1"/>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115B77" w:rsidRDefault="001C4649" w:rsidP="00880079">
      <w:pPr>
        <w:keepNext/>
        <w:numPr>
          <w:ilvl w:val="2"/>
          <w:numId w:val="1"/>
        </w:numPr>
        <w:spacing w:before="120" w:after="120" w:line="240" w:lineRule="auto"/>
        <w:ind w:left="1843" w:hanging="850"/>
      </w:pPr>
      <w:r>
        <w:rPr>
          <w:rFonts w:ascii="Arial" w:eastAsia="Arial" w:hAnsi="Arial" w:cs="Arial"/>
          <w:sz w:val="24"/>
          <w:szCs w:val="24"/>
        </w:rPr>
        <w:t>not make deductions from wages:</w:t>
      </w:r>
    </w:p>
    <w:p w14:paraId="0000001D" w14:textId="77777777" w:rsidR="00115B77" w:rsidRDefault="001C4649">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0000001E" w14:textId="77777777" w:rsidR="00115B77" w:rsidRDefault="001C4649">
      <w:pPr>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0000001F" w14:textId="77777777" w:rsidR="00115B77" w:rsidRDefault="001C4649">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00000020" w14:textId="77777777" w:rsidR="00115B77" w:rsidRDefault="001C4649" w:rsidP="00880079">
      <w:pPr>
        <w:numPr>
          <w:ilvl w:val="2"/>
          <w:numId w:val="1"/>
        </w:numPr>
        <w:tabs>
          <w:tab w:val="left" w:pos="1702"/>
        </w:tabs>
        <w:spacing w:before="120" w:after="120" w:line="240" w:lineRule="auto"/>
        <w:ind w:left="1701"/>
      </w:pPr>
      <w:r>
        <w:rPr>
          <w:rFonts w:ascii="Arial" w:eastAsia="Arial" w:hAnsi="Arial" w:cs="Arial"/>
          <w:sz w:val="24"/>
          <w:szCs w:val="24"/>
        </w:rPr>
        <w:t>record all disciplinary measures taken against Supplier Staff; and</w:t>
      </w:r>
    </w:p>
    <w:p w14:paraId="00000021" w14:textId="77777777" w:rsidR="00115B77" w:rsidRDefault="001C4649" w:rsidP="00880079">
      <w:pPr>
        <w:numPr>
          <w:ilvl w:val="2"/>
          <w:numId w:val="1"/>
        </w:numPr>
        <w:tabs>
          <w:tab w:val="left" w:pos="1702"/>
        </w:tabs>
        <w:spacing w:before="120" w:after="120" w:line="240" w:lineRule="auto"/>
        <w:ind w:left="1701"/>
      </w:pPr>
      <w:r>
        <w:rPr>
          <w:rFonts w:ascii="Arial" w:eastAsia="Arial" w:hAnsi="Arial" w:cs="Arial"/>
          <w:sz w:val="24"/>
          <w:szCs w:val="24"/>
        </w:rPr>
        <w:lastRenderedPageBreak/>
        <w:t>ensure that Supplier Staff are engaged under a recognised employment relationship established through national law and practice.</w:t>
      </w:r>
    </w:p>
    <w:p w14:paraId="00000022" w14:textId="77777777" w:rsidR="00115B77" w:rsidRDefault="001C4649">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23" w14:textId="77777777" w:rsidR="00115B77" w:rsidRDefault="001C4649">
      <w:pPr>
        <w:keepNext/>
        <w:numPr>
          <w:ilvl w:val="1"/>
          <w:numId w:val="1"/>
        </w:numPr>
        <w:spacing w:before="120" w:after="120" w:line="240" w:lineRule="auto"/>
        <w:ind w:left="900" w:hanging="468"/>
      </w:pPr>
      <w:r>
        <w:rPr>
          <w:rFonts w:ascii="Arial" w:eastAsia="Arial" w:hAnsi="Arial" w:cs="Arial"/>
          <w:sz w:val="24"/>
          <w:szCs w:val="24"/>
        </w:rPr>
        <w:t>The Supplier shall:</w:t>
      </w:r>
    </w:p>
    <w:p w14:paraId="00000024" w14:textId="77777777" w:rsidR="00115B77" w:rsidRDefault="001C4649" w:rsidP="00880079">
      <w:pPr>
        <w:numPr>
          <w:ilvl w:val="2"/>
          <w:numId w:val="1"/>
        </w:numPr>
        <w:tabs>
          <w:tab w:val="left" w:pos="1985"/>
        </w:tabs>
        <w:spacing w:before="120" w:after="120" w:line="240" w:lineRule="auto"/>
        <w:ind w:left="1701" w:hanging="708"/>
      </w:pPr>
      <w:r>
        <w:rPr>
          <w:rFonts w:ascii="Arial" w:eastAsia="Arial" w:hAnsi="Arial" w:cs="Arial"/>
          <w:sz w:val="24"/>
          <w:szCs w:val="24"/>
        </w:rPr>
        <w:t>ensure that the working hours of Supplier Staff comply with national laws, and any collective agreements;</w:t>
      </w:r>
    </w:p>
    <w:p w14:paraId="00000025" w14:textId="77777777" w:rsidR="00115B77" w:rsidRDefault="001C4649" w:rsidP="00880079">
      <w:pPr>
        <w:numPr>
          <w:ilvl w:val="2"/>
          <w:numId w:val="1"/>
        </w:numPr>
        <w:tabs>
          <w:tab w:val="left" w:pos="1985"/>
        </w:tabs>
        <w:spacing w:before="120" w:after="120" w:line="240" w:lineRule="auto"/>
        <w:ind w:left="1701" w:hanging="708"/>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77777777" w:rsidR="00115B77" w:rsidRDefault="001C4649" w:rsidP="00880079">
      <w:pPr>
        <w:keepNext/>
        <w:numPr>
          <w:ilvl w:val="2"/>
          <w:numId w:val="1"/>
        </w:numPr>
        <w:tabs>
          <w:tab w:val="left" w:pos="1701"/>
        </w:tabs>
        <w:spacing w:before="120" w:after="120" w:line="240" w:lineRule="auto"/>
        <w:ind w:hanging="1429"/>
      </w:pPr>
      <w:r>
        <w:rPr>
          <w:rFonts w:ascii="Arial" w:eastAsia="Arial" w:hAnsi="Arial" w:cs="Arial"/>
          <w:sz w:val="24"/>
          <w:szCs w:val="24"/>
        </w:rPr>
        <w:t>ensure that use of overtime used responsibly, taking into account:</w:t>
      </w:r>
    </w:p>
    <w:p w14:paraId="00000027" w14:textId="77777777" w:rsidR="00115B77" w:rsidRDefault="001C4649">
      <w:pPr>
        <w:numPr>
          <w:ilvl w:val="3"/>
          <w:numId w:val="2"/>
        </w:numPr>
        <w:tabs>
          <w:tab w:val="left" w:pos="1985"/>
        </w:tabs>
        <w:spacing w:before="120" w:after="120" w:line="240" w:lineRule="auto"/>
        <w:rPr>
          <w:sz w:val="24"/>
          <w:szCs w:val="24"/>
        </w:rPr>
      </w:pPr>
      <w:r>
        <w:rPr>
          <w:rFonts w:ascii="Arial" w:eastAsia="Arial" w:hAnsi="Arial" w:cs="Arial"/>
          <w:sz w:val="24"/>
          <w:szCs w:val="24"/>
        </w:rPr>
        <w:t>the extent;</w:t>
      </w:r>
    </w:p>
    <w:p w14:paraId="00000028" w14:textId="77777777" w:rsidR="00115B77" w:rsidRDefault="001C4649">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0000029" w14:textId="77777777" w:rsidR="00115B77" w:rsidRDefault="001C4649">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0000002A" w14:textId="77777777" w:rsidR="00115B77" w:rsidRDefault="001C4649">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7622AD74" w14:textId="77777777" w:rsidR="001E05CD" w:rsidRPr="001E05CD" w:rsidRDefault="001E05CD" w:rsidP="001E05CD">
      <w:pPr>
        <w:pStyle w:val="ListParagraph"/>
        <w:numPr>
          <w:ilvl w:val="0"/>
          <w:numId w:val="2"/>
        </w:numPr>
        <w:tabs>
          <w:tab w:val="left" w:pos="426"/>
        </w:tabs>
        <w:spacing w:before="120" w:after="120" w:line="240" w:lineRule="auto"/>
        <w:contextualSpacing w:val="0"/>
        <w:rPr>
          <w:rFonts w:ascii="Arial" w:eastAsia="Arial" w:hAnsi="Arial" w:cs="Arial"/>
          <w:vanish/>
          <w:sz w:val="24"/>
          <w:szCs w:val="24"/>
        </w:rPr>
      </w:pPr>
    </w:p>
    <w:p w14:paraId="64DC19B6" w14:textId="77777777" w:rsidR="001E05CD" w:rsidRPr="001E05CD" w:rsidRDefault="001E05CD" w:rsidP="001E05CD">
      <w:pPr>
        <w:pStyle w:val="ListParagraph"/>
        <w:numPr>
          <w:ilvl w:val="0"/>
          <w:numId w:val="2"/>
        </w:numPr>
        <w:tabs>
          <w:tab w:val="left" w:pos="426"/>
        </w:tabs>
        <w:spacing w:before="120" w:after="120" w:line="240" w:lineRule="auto"/>
        <w:contextualSpacing w:val="0"/>
        <w:rPr>
          <w:rFonts w:ascii="Arial" w:eastAsia="Arial" w:hAnsi="Arial" w:cs="Arial"/>
          <w:vanish/>
          <w:sz w:val="24"/>
          <w:szCs w:val="24"/>
        </w:rPr>
      </w:pPr>
    </w:p>
    <w:p w14:paraId="48075A1C" w14:textId="77777777" w:rsidR="001E05CD" w:rsidRPr="001E05CD" w:rsidRDefault="001E05CD" w:rsidP="001E05CD">
      <w:pPr>
        <w:pStyle w:val="ListParagraph"/>
        <w:numPr>
          <w:ilvl w:val="0"/>
          <w:numId w:val="2"/>
        </w:numPr>
        <w:tabs>
          <w:tab w:val="left" w:pos="426"/>
        </w:tabs>
        <w:spacing w:before="120" w:after="120" w:line="240" w:lineRule="auto"/>
        <w:contextualSpacing w:val="0"/>
        <w:rPr>
          <w:rFonts w:ascii="Arial" w:eastAsia="Arial" w:hAnsi="Arial" w:cs="Arial"/>
          <w:vanish/>
          <w:sz w:val="24"/>
          <w:szCs w:val="24"/>
        </w:rPr>
      </w:pPr>
    </w:p>
    <w:p w14:paraId="192D0B8A" w14:textId="77777777" w:rsidR="001E05CD" w:rsidRPr="001E05CD" w:rsidRDefault="001E05CD" w:rsidP="001E05CD">
      <w:pPr>
        <w:pStyle w:val="ListParagraph"/>
        <w:numPr>
          <w:ilvl w:val="0"/>
          <w:numId w:val="2"/>
        </w:numPr>
        <w:tabs>
          <w:tab w:val="left" w:pos="426"/>
        </w:tabs>
        <w:spacing w:before="120" w:after="120" w:line="240" w:lineRule="auto"/>
        <w:contextualSpacing w:val="0"/>
        <w:rPr>
          <w:rFonts w:ascii="Arial" w:eastAsia="Arial" w:hAnsi="Arial" w:cs="Arial"/>
          <w:vanish/>
          <w:sz w:val="24"/>
          <w:szCs w:val="24"/>
        </w:rPr>
      </w:pPr>
    </w:p>
    <w:p w14:paraId="28CA6872" w14:textId="77777777" w:rsidR="001E05CD" w:rsidRPr="001E05CD" w:rsidRDefault="001E05CD" w:rsidP="001E05CD">
      <w:pPr>
        <w:pStyle w:val="ListParagraph"/>
        <w:numPr>
          <w:ilvl w:val="1"/>
          <w:numId w:val="2"/>
        </w:numPr>
        <w:tabs>
          <w:tab w:val="left" w:pos="426"/>
        </w:tabs>
        <w:spacing w:before="120" w:after="120" w:line="240" w:lineRule="auto"/>
        <w:contextualSpacing w:val="0"/>
        <w:rPr>
          <w:rFonts w:ascii="Arial" w:eastAsia="Arial" w:hAnsi="Arial" w:cs="Arial"/>
          <w:vanish/>
          <w:sz w:val="24"/>
          <w:szCs w:val="24"/>
        </w:rPr>
      </w:pPr>
    </w:p>
    <w:p w14:paraId="0000002B" w14:textId="702078E2" w:rsidR="00115B77" w:rsidRDefault="001C4649" w:rsidP="00880079">
      <w:pPr>
        <w:numPr>
          <w:ilvl w:val="1"/>
          <w:numId w:val="2"/>
        </w:numPr>
        <w:tabs>
          <w:tab w:val="left" w:pos="851"/>
        </w:tabs>
        <w:spacing w:before="120" w:after="120" w:line="240" w:lineRule="auto"/>
        <w:ind w:left="851" w:hanging="567"/>
      </w:pPr>
      <w:r>
        <w:rPr>
          <w:rFonts w:ascii="Arial" w:eastAsia="Arial" w:hAnsi="Arial" w:cs="Arial"/>
          <w:sz w:val="24"/>
          <w:szCs w:val="24"/>
        </w:rPr>
        <w:t>The total hours worked in any seven day period shall not exceed 60 hours, except where covered by Paragraph 5.3 below.</w:t>
      </w:r>
    </w:p>
    <w:p w14:paraId="0000002C" w14:textId="77777777" w:rsidR="00115B77" w:rsidRDefault="001C4649">
      <w:pPr>
        <w:keepNext/>
        <w:numPr>
          <w:ilvl w:val="1"/>
          <w:numId w:val="2"/>
        </w:numPr>
        <w:spacing w:before="120" w:after="120" w:line="240" w:lineRule="auto"/>
        <w:ind w:left="900" w:hanging="616"/>
      </w:pPr>
      <w:bookmarkStart w:id="2" w:name="_heading=h.30j0zll" w:colFirst="0" w:colLast="0"/>
      <w:bookmarkEnd w:id="2"/>
      <w:r>
        <w:rPr>
          <w:rFonts w:ascii="Arial" w:eastAsia="Arial" w:hAnsi="Arial" w:cs="Arial"/>
          <w:sz w:val="24"/>
          <w:szCs w:val="24"/>
        </w:rPr>
        <w:t>Working hours may exceed 60 hours in any seven day period only in exceptional circumstances where all of the following are met:</w:t>
      </w:r>
    </w:p>
    <w:p w14:paraId="0000002D" w14:textId="77777777" w:rsidR="00115B77" w:rsidRDefault="001C4649" w:rsidP="00880079">
      <w:pPr>
        <w:numPr>
          <w:ilvl w:val="2"/>
          <w:numId w:val="2"/>
        </w:numPr>
        <w:tabs>
          <w:tab w:val="left" w:pos="1985"/>
        </w:tabs>
        <w:spacing w:before="120" w:after="120" w:line="240" w:lineRule="auto"/>
        <w:ind w:left="1701" w:hanging="708"/>
      </w:pPr>
      <w:r>
        <w:rPr>
          <w:rFonts w:ascii="Arial" w:eastAsia="Arial" w:hAnsi="Arial" w:cs="Arial"/>
          <w:sz w:val="24"/>
          <w:szCs w:val="24"/>
        </w:rPr>
        <w:t>this is allowed by national law;</w:t>
      </w:r>
    </w:p>
    <w:p w14:paraId="0000002E" w14:textId="77777777" w:rsidR="00115B77" w:rsidRDefault="001C4649" w:rsidP="00880079">
      <w:pPr>
        <w:numPr>
          <w:ilvl w:val="2"/>
          <w:numId w:val="2"/>
        </w:numPr>
        <w:tabs>
          <w:tab w:val="left" w:pos="1985"/>
        </w:tabs>
        <w:spacing w:before="120" w:after="120" w:line="240" w:lineRule="auto"/>
        <w:ind w:left="1701" w:hanging="708"/>
      </w:pPr>
      <w:r>
        <w:rPr>
          <w:rFonts w:ascii="Arial" w:eastAsia="Arial" w:hAnsi="Arial" w:cs="Arial"/>
          <w:sz w:val="24"/>
          <w:szCs w:val="24"/>
        </w:rPr>
        <w:t>this is allowed by a collective agreement freely negotiated with a workers’ organisation representing a significant portion of the workforce;</w:t>
      </w:r>
    </w:p>
    <w:p w14:paraId="0000002F" w14:textId="2E8FF698" w:rsidR="00115B77" w:rsidRDefault="001C4649" w:rsidP="00880079">
      <w:pPr>
        <w:tabs>
          <w:tab w:val="left" w:pos="1701"/>
        </w:tabs>
        <w:spacing w:before="120" w:after="120" w:line="240" w:lineRule="auto"/>
        <w:ind w:left="1701" w:hanging="708"/>
        <w:rPr>
          <w:rFonts w:ascii="Arial" w:eastAsia="Arial" w:hAnsi="Arial" w:cs="Arial"/>
          <w:sz w:val="24"/>
          <w:szCs w:val="24"/>
        </w:rPr>
      </w:pPr>
      <w:r>
        <w:rPr>
          <w:rFonts w:ascii="Arial" w:eastAsia="Arial" w:hAnsi="Arial" w:cs="Arial"/>
          <w:sz w:val="24"/>
          <w:szCs w:val="24"/>
        </w:rPr>
        <w:tab/>
        <w:t>appropriate safeguards are taken to protect the workers’ health and safety; and</w:t>
      </w:r>
    </w:p>
    <w:p w14:paraId="00000030" w14:textId="77777777" w:rsidR="00115B77" w:rsidRDefault="001C4649" w:rsidP="00880079">
      <w:pPr>
        <w:numPr>
          <w:ilvl w:val="2"/>
          <w:numId w:val="2"/>
        </w:numPr>
        <w:tabs>
          <w:tab w:val="left" w:pos="1985"/>
        </w:tabs>
        <w:spacing w:before="120" w:after="120" w:line="240" w:lineRule="auto"/>
        <w:ind w:left="1701" w:hanging="708"/>
      </w:pPr>
      <w:r>
        <w:rPr>
          <w:rFonts w:ascii="Arial" w:eastAsia="Arial" w:hAnsi="Arial" w:cs="Arial"/>
          <w:sz w:val="24"/>
          <w:szCs w:val="24"/>
        </w:rPr>
        <w:t>the employer can demonstrate that exceptional circumstances apply such as unexpected production peaks, accidents or emergencies.</w:t>
      </w:r>
    </w:p>
    <w:p w14:paraId="00000031" w14:textId="77777777" w:rsidR="00115B77" w:rsidRDefault="001C4649">
      <w:pPr>
        <w:numPr>
          <w:ilvl w:val="1"/>
          <w:numId w:val="2"/>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2" w14:textId="77777777" w:rsidR="00115B77" w:rsidRDefault="00115B77">
      <w:pPr>
        <w:spacing w:after="0" w:line="240" w:lineRule="auto"/>
        <w:rPr>
          <w:rFonts w:ascii="Arial" w:eastAsia="Arial" w:hAnsi="Arial" w:cs="Arial"/>
          <w:color w:val="FFFFFF"/>
          <w:sz w:val="24"/>
          <w:szCs w:val="24"/>
          <w:highlight w:val="cyan"/>
        </w:rPr>
      </w:pPr>
    </w:p>
    <w:p w14:paraId="00000033" w14:textId="77777777" w:rsidR="00115B77" w:rsidRDefault="001C4649">
      <w:pPr>
        <w:keepNext/>
        <w:numPr>
          <w:ilvl w:val="0"/>
          <w:numId w:val="2"/>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4" w14:textId="77777777" w:rsidR="00115B77" w:rsidRDefault="001C4649">
      <w:pPr>
        <w:keepNext/>
        <w:numPr>
          <w:ilvl w:val="1"/>
          <w:numId w:val="2"/>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00000038" w14:textId="59E53FC5" w:rsidR="00115B77" w:rsidRDefault="005D248F" w:rsidP="00880079">
      <w:pPr>
        <w:spacing w:before="120" w:after="120" w:line="240" w:lineRule="auto"/>
        <w:ind w:left="1402" w:hanging="360"/>
        <w:rPr>
          <w:rFonts w:ascii="Arial" w:eastAsia="Arial" w:hAnsi="Arial" w:cs="Arial"/>
          <w:b/>
          <w:smallCaps/>
          <w:sz w:val="24"/>
          <w:szCs w:val="24"/>
        </w:rPr>
      </w:pPr>
      <w:hyperlink r:id="rId10">
        <w:r w:rsidR="001C4649">
          <w:rPr>
            <w:rFonts w:ascii="Arial" w:eastAsia="Arial" w:hAnsi="Arial" w:cs="Arial"/>
            <w:color w:val="0000FF"/>
            <w:sz w:val="24"/>
            <w:szCs w:val="24"/>
            <w:u w:val="single"/>
          </w:rPr>
          <w:t>https://www.gov.uk/government/collections/sustainable-procurement-the-government-buying-standards-gbs</w:t>
        </w:r>
      </w:hyperlink>
    </w:p>
    <w:p w14:paraId="00000044" w14:textId="4ACC5690" w:rsidR="00115B77" w:rsidRDefault="00115B77">
      <w:pPr>
        <w:tabs>
          <w:tab w:val="left" w:pos="1870"/>
        </w:tabs>
        <w:rPr>
          <w:rFonts w:ascii="Arial" w:eastAsia="Arial" w:hAnsi="Arial" w:cs="Arial"/>
          <w:sz w:val="24"/>
          <w:szCs w:val="24"/>
        </w:rPr>
        <w:sectPr w:rsidR="00115B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pPr>
    </w:p>
    <w:p w14:paraId="00000045" w14:textId="77777777" w:rsidR="00115B77" w:rsidRDefault="00115B77">
      <w:pPr>
        <w:tabs>
          <w:tab w:val="left" w:pos="1870"/>
        </w:tabs>
        <w:rPr>
          <w:rFonts w:ascii="Arial" w:eastAsia="Arial" w:hAnsi="Arial" w:cs="Arial"/>
          <w:sz w:val="24"/>
          <w:szCs w:val="24"/>
        </w:rPr>
      </w:pPr>
    </w:p>
    <w:sectPr w:rsidR="00115B7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956E0" w14:textId="77777777" w:rsidR="005D248F" w:rsidRDefault="005D248F">
      <w:pPr>
        <w:spacing w:after="0" w:line="240" w:lineRule="auto"/>
      </w:pPr>
      <w:r>
        <w:separator/>
      </w:r>
    </w:p>
  </w:endnote>
  <w:endnote w:type="continuationSeparator" w:id="0">
    <w:p w14:paraId="0B6EF329" w14:textId="77777777" w:rsidR="005D248F" w:rsidRDefault="005D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7777777" w:rsidR="00115B77" w:rsidRDefault="00115B7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0" w14:textId="1E9BCBFE" w:rsidR="00115B77" w:rsidRDefault="001C4649">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w:t>
    </w:r>
    <w:r w:rsidR="001E05CD">
      <w:rPr>
        <w:rFonts w:ascii="Arial" w:eastAsia="Arial" w:hAnsi="Arial" w:cs="Arial"/>
        <w:sz w:val="20"/>
        <w:szCs w:val="20"/>
      </w:rPr>
      <w:t>6280</w:t>
    </w:r>
    <w:r>
      <w:rPr>
        <w:rFonts w:ascii="Arial" w:eastAsia="Arial" w:hAnsi="Arial" w:cs="Arial"/>
        <w:sz w:val="20"/>
        <w:szCs w:val="20"/>
      </w:rPr>
      <w:tab/>
      <w:t xml:space="preserve">                                           </w:t>
    </w:r>
  </w:p>
  <w:p w14:paraId="00000051" w14:textId="0A5ED29B" w:rsidR="00115B77" w:rsidRDefault="001C464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1E05CD">
      <w:rPr>
        <w:rFonts w:ascii="Arial" w:eastAsia="Arial" w:hAnsi="Arial" w:cs="Arial"/>
        <w:noProof/>
        <w:sz w:val="20"/>
        <w:szCs w:val="20"/>
      </w:rPr>
      <w:t>1</w:t>
    </w:r>
    <w:r>
      <w:rPr>
        <w:rFonts w:ascii="Arial" w:eastAsia="Arial" w:hAnsi="Arial" w:cs="Arial"/>
        <w:sz w:val="20"/>
        <w:szCs w:val="20"/>
      </w:rPr>
      <w:fldChar w:fldCharType="end"/>
    </w:r>
  </w:p>
  <w:p w14:paraId="00000052" w14:textId="77777777" w:rsidR="00115B77" w:rsidRDefault="001C4649">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C" w14:textId="77777777" w:rsidR="00115B77" w:rsidRDefault="00115B77">
    <w:pPr>
      <w:tabs>
        <w:tab w:val="center" w:pos="4513"/>
        <w:tab w:val="right" w:pos="9026"/>
      </w:tabs>
      <w:spacing w:after="0"/>
      <w:rPr>
        <w:color w:val="BFBFBF"/>
      </w:rPr>
    </w:pPr>
  </w:p>
  <w:p w14:paraId="0000004D" w14:textId="77777777" w:rsidR="00115B77" w:rsidRDefault="001C4649">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115B77" w:rsidRDefault="001C4649">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115B77" w:rsidRDefault="001C4649">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6C41" w14:textId="77777777" w:rsidR="005D248F" w:rsidRDefault="005D248F">
      <w:pPr>
        <w:spacing w:after="0" w:line="240" w:lineRule="auto"/>
      </w:pPr>
      <w:r>
        <w:separator/>
      </w:r>
    </w:p>
  </w:footnote>
  <w:footnote w:type="continuationSeparator" w:id="0">
    <w:p w14:paraId="79B65D57" w14:textId="77777777" w:rsidR="005D248F" w:rsidRDefault="005D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115B77" w:rsidRDefault="00115B7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115B77" w:rsidRDefault="001C4649">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7" w14:textId="77777777" w:rsidR="00115B77" w:rsidRDefault="001C464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9" w14:textId="77777777" w:rsidR="00115B77" w:rsidRDefault="00115B77">
    <w:pPr>
      <w:tabs>
        <w:tab w:val="center" w:pos="4513"/>
        <w:tab w:val="right" w:pos="9026"/>
      </w:tabs>
      <w:spacing w:after="0" w:line="240" w:lineRule="auto"/>
    </w:pPr>
  </w:p>
  <w:p w14:paraId="0000004A" w14:textId="77777777" w:rsidR="00115B77" w:rsidRDefault="00115B77">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31D7"/>
    <w:multiLevelType w:val="multilevel"/>
    <w:tmpl w:val="940E6E2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875687F"/>
    <w:multiLevelType w:val="multilevel"/>
    <w:tmpl w:val="5298004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77"/>
    <w:rsid w:val="00115B77"/>
    <w:rsid w:val="001C4649"/>
    <w:rsid w:val="001E05CD"/>
    <w:rsid w:val="005D248F"/>
    <w:rsid w:val="0088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9814"/>
  <w15:docId w15:val="{338728D9-3245-4E25-AD80-0C5F0855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1E05CD"/>
    <w:pPr>
      <w:ind w:left="720"/>
      <w:contextualSpacing/>
    </w:pPr>
  </w:style>
  <w:style w:type="paragraph" w:styleId="BalloonText">
    <w:name w:val="Balloon Text"/>
    <w:basedOn w:val="Normal"/>
    <w:link w:val="BalloonTextChar"/>
    <w:uiPriority w:val="99"/>
    <w:semiHidden/>
    <w:unhideWhenUsed/>
    <w:rsid w:val="001E0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Graham Perry</cp:lastModifiedBy>
  <cp:revision>2</cp:revision>
  <dcterms:created xsi:type="dcterms:W3CDTF">2023-03-13T16:08:00Z</dcterms:created>
  <dcterms:modified xsi:type="dcterms:W3CDTF">2023-03-13T16:08:00Z</dcterms:modified>
</cp:coreProperties>
</file>