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3 (Insurance Requirements)</w:t>
      </w:r>
    </w:p>
    <w:p w:rsidR="00000000" w:rsidDel="00000000" w:rsidP="00000000" w:rsidRDefault="00000000" w:rsidRPr="00000000" w14:paraId="00000002">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insurance you need to have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any other insurances as may be required by applicable Law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ensure that each of the Insurances is effective no later than: </w:t>
      </w:r>
    </w:p>
    <w:p w:rsidR="00000000" w:rsidDel="00000000" w:rsidP="00000000" w:rsidRDefault="00000000" w:rsidRPr="00000000" w14:paraId="0000000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Start Date in respect of those Insurances set out in the Annex to this Schedule and those required by applicable Law; and </w:t>
      </w:r>
    </w:p>
    <w:p w:rsidR="00000000" w:rsidDel="00000000" w:rsidP="00000000" w:rsidRDefault="00000000" w:rsidRPr="00000000" w14:paraId="0000000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Call-Off Contract Effective Date in respect of the Additional Insurances.</w:t>
      </w:r>
    </w:p>
    <w:p w:rsidR="00000000" w:rsidDel="00000000" w:rsidP="00000000" w:rsidRDefault="00000000" w:rsidRPr="00000000" w14:paraId="00000006">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Insurances shall be: </w:t>
      </w:r>
    </w:p>
    <w:p w:rsidR="00000000" w:rsidDel="00000000" w:rsidP="00000000" w:rsidRDefault="00000000" w:rsidRPr="00000000" w14:paraId="0000000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in accordance with Good Industry Practice; </w:t>
      </w:r>
    </w:p>
    <w:p w:rsidR="00000000" w:rsidDel="00000000" w:rsidP="00000000" w:rsidRDefault="00000000" w:rsidRPr="00000000" w14:paraId="0000000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taken out and maintained with insurers of good financial standing and good repute in the international insurance market; and</w:t>
      </w:r>
    </w:p>
    <w:p w:rsidR="00000000" w:rsidDel="00000000" w:rsidP="00000000" w:rsidRDefault="00000000" w:rsidRPr="00000000" w14:paraId="0000000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for at least six (6) years after the End Date.</w:t>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C">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to manage the insurance</w:t>
      </w: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limiting the other provisions of this Contract, the Supplier shall:</w:t>
      </w:r>
    </w:p>
    <w:p w:rsidR="00000000" w:rsidDel="00000000" w:rsidP="00000000" w:rsidRDefault="00000000" w:rsidRPr="00000000" w14:paraId="0000000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00000" w:rsidDel="00000000" w:rsidP="00000000" w:rsidRDefault="00000000" w:rsidRPr="00000000" w14:paraId="0000000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1">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you aren’t insured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4">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Evidence of insurance you must provide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Making sure you are insured to the required amount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Cancelled Insurance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 claims</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requires payment of a premium, the Supplier shall be liable for and shall promptly pay such premium.</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20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8"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REQUIRED INSURANCES</w:t>
      </w:r>
    </w:p>
    <w:p w:rsidR="00000000" w:rsidDel="00000000" w:rsidP="00000000" w:rsidRDefault="00000000" w:rsidRPr="00000000" w14:paraId="0000002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the following insurance cover from the Framework Start Date in accordance with this Schedule:</w:t>
      </w:r>
    </w:p>
    <w:tbl>
      <w:tblPr>
        <w:tblStyle w:val="Table1"/>
        <w:tblW w:w="8993.999999999998"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98"/>
        <w:gridCol w:w="1770"/>
        <w:gridCol w:w="1200"/>
        <w:gridCol w:w="1813"/>
        <w:gridCol w:w="1813"/>
        <w:tblGridChange w:id="0">
          <w:tblGrid>
            <w:gridCol w:w="2398"/>
            <w:gridCol w:w="1770"/>
            <w:gridCol w:w="1200"/>
            <w:gridCol w:w="1813"/>
            <w:gridCol w:w="1813"/>
          </w:tblGrid>
        </w:tblGridChange>
      </w:tblGrid>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22">
            <w:pPr>
              <w:widowControl w:val="0"/>
              <w:spacing w:after="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No. &amp; Description</w:t>
            </w:r>
          </w:p>
        </w:tc>
        <w:tc>
          <w:tcPr>
            <w:gridSpan w:val="4"/>
            <w:tcBorders>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Insurance Required</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Professional Indemnity</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 Liability</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Employers Liability</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Product</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Liabilit</w:t>
            </w:r>
            <w:r w:rsidDel="00000000" w:rsidR="00000000" w:rsidRPr="00000000">
              <w:rPr>
                <w:rFonts w:ascii="Arial" w:cs="Arial" w:eastAsia="Arial" w:hAnsi="Arial"/>
                <w:b w:val="1"/>
                <w:sz w:val="24"/>
                <w:szCs w:val="24"/>
                <w:rtl w:val="0"/>
              </w:rPr>
              <w:t xml:space="preserve">y</w:t>
            </w:r>
            <w:r w:rsidDel="00000000" w:rsidR="00000000" w:rsidRPr="00000000">
              <w:rPr>
                <w:rtl w:val="0"/>
              </w:rPr>
            </w:r>
          </w:p>
        </w:tc>
      </w:tr>
      <w:tr>
        <w:trPr>
          <w:cantSplit w:val="0"/>
          <w:tblHeader w:val="0"/>
        </w:trPr>
        <w:tc>
          <w:tcPr>
            <w:shd w:fill="auto" w:val="clear"/>
            <w:tcMar>
              <w:top w:w="57.0" w:type="dxa"/>
              <w:left w:w="100.0" w:type="dxa"/>
              <w:bottom w:w="57.0" w:type="dxa"/>
              <w:right w:w="100.0" w:type="dxa"/>
            </w:tcMar>
          </w:tcPr>
          <w:p w:rsidR="00000000" w:rsidDel="00000000" w:rsidP="00000000" w:rsidRDefault="00000000" w:rsidRPr="00000000" w14:paraId="0000002E">
            <w:pPr>
              <w:spacing w:after="0" w:lineRule="auto"/>
              <w:jc w:val="left"/>
              <w:rPr>
                <w:rFonts w:ascii="Arial" w:cs="Arial" w:eastAsia="Arial" w:hAnsi="Arial"/>
              </w:rPr>
            </w:pPr>
            <w:r w:rsidDel="00000000" w:rsidR="00000000" w:rsidRPr="00000000">
              <w:rPr>
                <w:rFonts w:ascii="Arial" w:cs="Arial" w:eastAsia="Arial" w:hAnsi="Arial"/>
                <w:rtl w:val="0"/>
              </w:rPr>
              <w:t xml:space="preserve">Lot 1 Franking Machines, Mailroom Equipment And Associated Consumables</w:t>
            </w:r>
          </w:p>
        </w:tc>
        <w:tc>
          <w:tcPr>
            <w:shd w:fill="auto" w:val="clear"/>
            <w:tcMar>
              <w:top w:w="57.0" w:type="dxa"/>
              <w:left w:w="100.0" w:type="dxa"/>
              <w:bottom w:w="57.0" w:type="dxa"/>
              <w:right w:w="100.0" w:type="dxa"/>
            </w:tcMar>
          </w:tcPr>
          <w:p w:rsidR="00000000" w:rsidDel="00000000" w:rsidP="00000000" w:rsidRDefault="00000000" w:rsidRPr="00000000" w14:paraId="0000002F">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0">
            <w:pPr>
              <w:widowControl w:val="0"/>
              <w:spacing w:after="0" w:lineRule="auto"/>
              <w:jc w:val="left"/>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1">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2">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r>
      <w:tr>
        <w:trPr>
          <w:cantSplit w:val="0"/>
          <w:tblHeader w:val="0"/>
        </w:trPr>
        <w:tc>
          <w:tcPr>
            <w:shd w:fill="auto" w:val="clear"/>
            <w:tcMar>
              <w:top w:w="57.0" w:type="dxa"/>
              <w:left w:w="100.0" w:type="dxa"/>
              <w:bottom w:w="57.0" w:type="dxa"/>
              <w:right w:w="100.0" w:type="dxa"/>
            </w:tcMar>
          </w:tcPr>
          <w:p w:rsidR="00000000" w:rsidDel="00000000" w:rsidP="00000000" w:rsidRDefault="00000000" w:rsidRPr="00000000" w14:paraId="00000033">
            <w:pPr>
              <w:spacing w:after="0" w:lineRule="auto"/>
              <w:jc w:val="left"/>
              <w:rPr>
                <w:rFonts w:ascii="Arial" w:cs="Arial" w:eastAsia="Arial" w:hAnsi="Arial"/>
              </w:rPr>
            </w:pPr>
            <w:r w:rsidDel="00000000" w:rsidR="00000000" w:rsidRPr="00000000">
              <w:rPr>
                <w:rFonts w:ascii="Arial" w:cs="Arial" w:eastAsia="Arial" w:hAnsi="Arial"/>
                <w:rtl w:val="0"/>
              </w:rPr>
              <w:t xml:space="preserve">Lot 2 Collection And Delivery of Letters, Large Letters and Parcels within the UK</w:t>
            </w:r>
          </w:p>
        </w:tc>
        <w:tc>
          <w:tcPr>
            <w:shd w:fill="auto" w:val="clear"/>
            <w:tcMar>
              <w:top w:w="57.0" w:type="dxa"/>
              <w:left w:w="100.0" w:type="dxa"/>
              <w:bottom w:w="57.0" w:type="dxa"/>
              <w:right w:w="100.0" w:type="dxa"/>
            </w:tcMar>
          </w:tcPr>
          <w:p w:rsidR="00000000" w:rsidDel="00000000" w:rsidP="00000000" w:rsidRDefault="00000000" w:rsidRPr="00000000" w14:paraId="00000034">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5">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6">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7">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Not Required</w:t>
            </w:r>
          </w:p>
        </w:tc>
      </w:tr>
      <w:tr>
        <w:trPr>
          <w:cantSplit w:val="0"/>
          <w:tblHeader w:val="0"/>
        </w:trPr>
        <w:tc>
          <w:tcPr>
            <w:shd w:fill="auto" w:val="clear"/>
            <w:tcMar>
              <w:top w:w="57.0" w:type="dxa"/>
              <w:left w:w="100.0" w:type="dxa"/>
              <w:bottom w:w="57.0" w:type="dxa"/>
              <w:right w:w="100.0" w:type="dxa"/>
            </w:tcMar>
          </w:tcPr>
          <w:p w:rsidR="00000000" w:rsidDel="00000000" w:rsidP="00000000" w:rsidRDefault="00000000" w:rsidRPr="00000000" w14:paraId="00000038">
            <w:pPr>
              <w:spacing w:after="0" w:lineRule="auto"/>
              <w:jc w:val="left"/>
              <w:rPr>
                <w:rFonts w:ascii="Arial" w:cs="Arial" w:eastAsia="Arial" w:hAnsi="Arial"/>
              </w:rPr>
            </w:pPr>
            <w:r w:rsidDel="00000000" w:rsidR="00000000" w:rsidRPr="00000000">
              <w:rPr>
                <w:rFonts w:ascii="Arial" w:cs="Arial" w:eastAsia="Arial" w:hAnsi="Arial"/>
                <w:rtl w:val="0"/>
              </w:rPr>
              <w:t xml:space="preserve">Lot 3 Collection And Delivery of Letters, Large Letters and Parcels to International Destinations</w:t>
            </w:r>
          </w:p>
        </w:tc>
        <w:tc>
          <w:tcPr>
            <w:shd w:fill="auto" w:val="clear"/>
            <w:tcMar>
              <w:top w:w="57.0" w:type="dxa"/>
              <w:left w:w="100.0" w:type="dxa"/>
              <w:bottom w:w="57.0" w:type="dxa"/>
              <w:right w:w="100.0" w:type="dxa"/>
            </w:tcMar>
          </w:tcPr>
          <w:p w:rsidR="00000000" w:rsidDel="00000000" w:rsidP="00000000" w:rsidRDefault="00000000" w:rsidRPr="00000000" w14:paraId="00000039">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A">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B">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C">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Not Required</w:t>
            </w:r>
          </w:p>
        </w:tc>
      </w:tr>
      <w:tr>
        <w:trPr>
          <w:cantSplit w:val="0"/>
          <w:tblHeader w:val="0"/>
        </w:trPr>
        <w:tc>
          <w:tcPr>
            <w:shd w:fill="auto" w:val="clear"/>
            <w:tcMar>
              <w:top w:w="57.0" w:type="dxa"/>
              <w:left w:w="100.0" w:type="dxa"/>
              <w:bottom w:w="57.0" w:type="dxa"/>
              <w:right w:w="100.0" w:type="dxa"/>
            </w:tcMar>
          </w:tcPr>
          <w:p w:rsidR="00000000" w:rsidDel="00000000" w:rsidP="00000000" w:rsidRDefault="00000000" w:rsidRPr="00000000" w14:paraId="0000003D">
            <w:pPr>
              <w:spacing w:after="0" w:lineRule="auto"/>
              <w:jc w:val="left"/>
              <w:rPr>
                <w:rFonts w:ascii="Arial" w:cs="Arial" w:eastAsia="Arial" w:hAnsi="Arial"/>
              </w:rPr>
            </w:pPr>
            <w:r w:rsidDel="00000000" w:rsidR="00000000" w:rsidRPr="00000000">
              <w:rPr>
                <w:rFonts w:ascii="Arial" w:cs="Arial" w:eastAsia="Arial" w:hAnsi="Arial"/>
                <w:rtl w:val="0"/>
              </w:rPr>
              <w:t xml:space="preserve">Lot 4 Audits, Efficiency Reviews and Niche Consultancy </w:t>
            </w:r>
          </w:p>
        </w:tc>
        <w:tc>
          <w:tcPr>
            <w:shd w:fill="auto" w:val="clear"/>
            <w:tcMar>
              <w:top w:w="57.0" w:type="dxa"/>
              <w:left w:w="100.0" w:type="dxa"/>
              <w:bottom w:w="57.0" w:type="dxa"/>
              <w:right w:w="100.0" w:type="dxa"/>
            </w:tcMar>
          </w:tcPr>
          <w:p w:rsidR="00000000" w:rsidDel="00000000" w:rsidP="00000000" w:rsidRDefault="00000000" w:rsidRPr="00000000" w14:paraId="0000003E">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3F">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0">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1">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Not Required</w:t>
            </w:r>
          </w:p>
        </w:tc>
      </w:tr>
      <w:tr>
        <w:trPr>
          <w:cantSplit w:val="0"/>
          <w:tblHeader w:val="0"/>
        </w:trPr>
        <w:tc>
          <w:tcPr>
            <w:shd w:fill="auto" w:val="clear"/>
            <w:tcMar>
              <w:top w:w="57.0" w:type="dxa"/>
              <w:left w:w="100.0" w:type="dxa"/>
              <w:bottom w:w="57.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Rule="auto"/>
              <w:jc w:val="left"/>
              <w:rPr>
                <w:rFonts w:ascii="Arial" w:cs="Arial" w:eastAsia="Arial" w:hAnsi="Arial"/>
              </w:rPr>
            </w:pPr>
            <w:r w:rsidDel="00000000" w:rsidR="00000000" w:rsidRPr="00000000">
              <w:rPr>
                <w:rFonts w:ascii="Arial" w:cs="Arial" w:eastAsia="Arial" w:hAnsi="Arial"/>
                <w:rtl w:val="0"/>
              </w:rPr>
              <w:t xml:space="preserve">Lot 5 Business Process Outsourcing, Mailroom, Document and Data Managed Service</w:t>
            </w:r>
          </w:p>
        </w:tc>
        <w:tc>
          <w:tcPr>
            <w:shd w:fill="auto" w:val="clear"/>
            <w:tcMar>
              <w:top w:w="57.0" w:type="dxa"/>
              <w:left w:w="100.0" w:type="dxa"/>
              <w:bottom w:w="57.0" w:type="dxa"/>
              <w:right w:w="100.0" w:type="dxa"/>
            </w:tcMar>
          </w:tcPr>
          <w:p w:rsidR="00000000" w:rsidDel="00000000" w:rsidP="00000000" w:rsidRDefault="00000000" w:rsidRPr="00000000" w14:paraId="00000043">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4">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5">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6">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Not Required</w:t>
            </w:r>
          </w:p>
        </w:tc>
      </w:tr>
      <w:tr>
        <w:trPr>
          <w:cantSplit w:val="0"/>
          <w:tblHeader w:val="0"/>
        </w:trPr>
        <w:tc>
          <w:tcPr>
            <w:shd w:fill="auto" w:val="clear"/>
            <w:tcMar>
              <w:top w:w="57.0" w:type="dxa"/>
              <w:left w:w="100.0" w:type="dxa"/>
              <w:bottom w:w="57.0" w:type="dxa"/>
              <w:right w:w="100.0" w:type="dxa"/>
            </w:tcMar>
          </w:tcPr>
          <w:p w:rsidR="00000000" w:rsidDel="00000000" w:rsidP="00000000" w:rsidRDefault="00000000" w:rsidRPr="00000000" w14:paraId="00000047">
            <w:pPr>
              <w:spacing w:after="0" w:lineRule="auto"/>
              <w:jc w:val="left"/>
              <w:rPr>
                <w:rFonts w:ascii="Arial" w:cs="Arial" w:eastAsia="Arial" w:hAnsi="Arial"/>
              </w:rPr>
            </w:pPr>
            <w:r w:rsidDel="00000000" w:rsidR="00000000" w:rsidRPr="00000000">
              <w:rPr>
                <w:rFonts w:ascii="Arial" w:cs="Arial" w:eastAsia="Arial" w:hAnsi="Arial"/>
                <w:rtl w:val="0"/>
              </w:rPr>
              <w:t xml:space="preserve">Lot 6 Hybrid Mail, Digital and Transformational Communications</w:t>
            </w:r>
          </w:p>
        </w:tc>
        <w:tc>
          <w:tcPr>
            <w:shd w:fill="auto" w:val="clear"/>
            <w:tcMar>
              <w:top w:w="57.0" w:type="dxa"/>
              <w:left w:w="100.0" w:type="dxa"/>
              <w:bottom w:w="57.0" w:type="dxa"/>
              <w:right w:w="100.0" w:type="dxa"/>
            </w:tcMar>
          </w:tcPr>
          <w:p w:rsidR="00000000" w:rsidDel="00000000" w:rsidP="00000000" w:rsidRDefault="00000000" w:rsidRPr="00000000" w14:paraId="00000048">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9">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A">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B">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Not Required</w:t>
            </w:r>
          </w:p>
        </w:tc>
      </w:tr>
      <w:tr>
        <w:trPr>
          <w:cantSplit w:val="0"/>
          <w:tblHeader w:val="0"/>
        </w:trPr>
        <w:tc>
          <w:tcPr>
            <w:shd w:fill="auto" w:val="clear"/>
            <w:tcMar>
              <w:top w:w="57.0" w:type="dxa"/>
              <w:left w:w="100.0" w:type="dxa"/>
              <w:bottom w:w="57.0" w:type="dxa"/>
              <w:right w:w="100.0" w:type="dxa"/>
            </w:tcMar>
          </w:tcPr>
          <w:p w:rsidR="00000000" w:rsidDel="00000000" w:rsidP="00000000" w:rsidRDefault="00000000" w:rsidRPr="00000000" w14:paraId="0000004C">
            <w:pPr>
              <w:spacing w:after="0" w:lineRule="auto"/>
              <w:jc w:val="left"/>
              <w:rPr>
                <w:rFonts w:ascii="Arial" w:cs="Arial" w:eastAsia="Arial" w:hAnsi="Arial"/>
              </w:rPr>
            </w:pPr>
            <w:r w:rsidDel="00000000" w:rsidR="00000000" w:rsidRPr="00000000">
              <w:rPr>
                <w:rFonts w:ascii="Arial" w:cs="Arial" w:eastAsia="Arial" w:hAnsi="Arial"/>
                <w:rtl w:val="0"/>
              </w:rPr>
              <w:t xml:space="preserve">Lot 7 Inbound Delivery, Mail Opening And Digital Scanning Services</w:t>
            </w:r>
          </w:p>
        </w:tc>
        <w:tc>
          <w:tcPr>
            <w:shd w:fill="auto" w:val="clear"/>
            <w:tcMar>
              <w:top w:w="57.0" w:type="dxa"/>
              <w:left w:w="100.0" w:type="dxa"/>
              <w:bottom w:w="57.0" w:type="dxa"/>
              <w:right w:w="100.0" w:type="dxa"/>
            </w:tcMar>
          </w:tcPr>
          <w:p w:rsidR="00000000" w:rsidDel="00000000" w:rsidP="00000000" w:rsidRDefault="00000000" w:rsidRPr="00000000" w14:paraId="0000004D">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E">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4F">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50">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Not Required</w:t>
            </w:r>
          </w:p>
        </w:tc>
      </w:tr>
      <w:tr>
        <w:trPr>
          <w:cantSplit w:val="0"/>
          <w:tblHeader w:val="0"/>
        </w:trPr>
        <w:tc>
          <w:tcPr>
            <w:shd w:fill="auto" w:val="clear"/>
            <w:tcMar>
              <w:top w:w="57.0" w:type="dxa"/>
              <w:left w:w="100.0" w:type="dxa"/>
              <w:bottom w:w="57.0" w:type="dxa"/>
              <w:right w:w="100.0" w:type="dxa"/>
            </w:tcMar>
          </w:tcPr>
          <w:p w:rsidR="00000000" w:rsidDel="00000000" w:rsidP="00000000" w:rsidRDefault="00000000" w:rsidRPr="00000000" w14:paraId="00000051">
            <w:pPr>
              <w:spacing w:after="0" w:lineRule="auto"/>
              <w:jc w:val="left"/>
              <w:rPr>
                <w:rFonts w:ascii="Arial" w:cs="Arial" w:eastAsia="Arial" w:hAnsi="Arial"/>
              </w:rPr>
            </w:pPr>
            <w:r w:rsidDel="00000000" w:rsidR="00000000" w:rsidRPr="00000000">
              <w:rPr>
                <w:rFonts w:ascii="Arial" w:cs="Arial" w:eastAsia="Arial" w:hAnsi="Arial"/>
                <w:rtl w:val="0"/>
              </w:rPr>
              <w:t xml:space="preserve">Lot 8 Security Screening Services </w:t>
            </w:r>
          </w:p>
        </w:tc>
        <w:tc>
          <w:tcPr>
            <w:shd w:fill="auto" w:val="clear"/>
            <w:tcMar>
              <w:top w:w="57.0" w:type="dxa"/>
              <w:left w:w="100.0" w:type="dxa"/>
              <w:bottom w:w="57.0" w:type="dxa"/>
              <w:right w:w="100.0" w:type="dxa"/>
            </w:tcMar>
          </w:tcPr>
          <w:p w:rsidR="00000000" w:rsidDel="00000000" w:rsidP="00000000" w:rsidRDefault="00000000" w:rsidRPr="00000000" w14:paraId="00000052">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53">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54">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Required</w:t>
            </w:r>
          </w:p>
        </w:tc>
        <w:tc>
          <w:tcPr>
            <w:shd w:fill="auto" w:val="clear"/>
            <w:tcMar>
              <w:top w:w="57.0" w:type="dxa"/>
              <w:left w:w="100.0" w:type="dxa"/>
              <w:bottom w:w="57.0" w:type="dxa"/>
              <w:right w:w="100.0" w:type="dxa"/>
            </w:tcMar>
          </w:tcPr>
          <w:p w:rsidR="00000000" w:rsidDel="00000000" w:rsidP="00000000" w:rsidRDefault="00000000" w:rsidRPr="00000000" w14:paraId="00000055">
            <w:pPr>
              <w:widowControl w:val="0"/>
              <w:spacing w:after="0" w:lineRule="auto"/>
              <w:jc w:val="left"/>
              <w:rPr>
                <w:rFonts w:ascii="Arial" w:cs="Arial" w:eastAsia="Arial" w:hAnsi="Arial"/>
              </w:rPr>
            </w:pPr>
            <w:r w:rsidDel="00000000" w:rsidR="00000000" w:rsidRPr="00000000">
              <w:rPr>
                <w:rFonts w:ascii="Arial" w:cs="Arial" w:eastAsia="Arial" w:hAnsi="Arial"/>
                <w:rtl w:val="0"/>
              </w:rPr>
              <w:t xml:space="preserve">Not Required</w:t>
            </w:r>
          </w:p>
        </w:tc>
      </w:tr>
    </w:tbl>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professional indemnity insurance</w:t>
      </w:r>
      <w:r w:rsidDel="00000000" w:rsidR="00000000" w:rsidRPr="00000000">
        <w:rPr>
          <w:rFonts w:ascii="Arial" w:cs="Arial" w:eastAsia="Arial" w:hAnsi="Arial"/>
          <w:color w:val="000000"/>
          <w:sz w:val="24"/>
          <w:szCs w:val="24"/>
          <w:rtl w:val="0"/>
        </w:rPr>
        <w:t xml:space="preserve"> with cover (for a single event or a series of related events and in the aggregate) of not less than </w:t>
      </w:r>
      <w:r w:rsidDel="00000000" w:rsidR="00000000" w:rsidRPr="00000000">
        <w:rPr>
          <w:rFonts w:ascii="Arial" w:cs="Arial" w:eastAsia="Arial" w:hAnsi="Arial"/>
          <w:sz w:val="24"/>
          <w:szCs w:val="24"/>
          <w:rtl w:val="0"/>
        </w:rPr>
        <w:t xml:space="preserve">one</w:t>
      </w:r>
      <w:r w:rsidDel="00000000" w:rsidR="00000000" w:rsidRPr="00000000">
        <w:rPr>
          <w:rFonts w:ascii="Arial" w:cs="Arial" w:eastAsia="Arial" w:hAnsi="Arial"/>
          <w:color w:val="000000"/>
          <w:sz w:val="24"/>
          <w:szCs w:val="24"/>
          <w:rtl w:val="0"/>
        </w:rPr>
        <w:t xml:space="preserve"> million pounds (</w:t>
      </w:r>
      <w:r w:rsidDel="00000000" w:rsidR="00000000" w:rsidRPr="00000000">
        <w:rPr>
          <w:rFonts w:ascii="Arial" w:cs="Arial" w:eastAsia="Arial" w:hAnsi="Arial"/>
          <w:sz w:val="24"/>
          <w:szCs w:val="24"/>
          <w:rtl w:val="0"/>
        </w:rPr>
        <w:t xml:space="preserve">£1,000,000;</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public liability insurance </w:t>
      </w:r>
      <w:r w:rsidDel="00000000" w:rsidR="00000000" w:rsidRPr="00000000">
        <w:rPr>
          <w:rFonts w:ascii="Arial" w:cs="Arial" w:eastAsia="Arial" w:hAnsi="Arial"/>
          <w:color w:val="000000"/>
          <w:sz w:val="24"/>
          <w:szCs w:val="24"/>
          <w:rtl w:val="0"/>
        </w:rPr>
        <w:t xml:space="preserve">with cover (for a single event or a series of related events and in the aggregate) of not less than </w:t>
      </w:r>
      <w:r w:rsidDel="00000000" w:rsidR="00000000" w:rsidRPr="00000000">
        <w:rPr>
          <w:rFonts w:ascii="Arial" w:cs="Arial" w:eastAsia="Arial" w:hAnsi="Arial"/>
          <w:sz w:val="24"/>
          <w:szCs w:val="24"/>
          <w:rtl w:val="0"/>
        </w:rPr>
        <w:t xml:space="preserve">two </w:t>
      </w:r>
      <w:r w:rsidDel="00000000" w:rsidR="00000000" w:rsidRPr="00000000">
        <w:rPr>
          <w:rFonts w:ascii="Arial" w:cs="Arial" w:eastAsia="Arial" w:hAnsi="Arial"/>
          <w:color w:val="000000"/>
          <w:sz w:val="24"/>
          <w:szCs w:val="24"/>
          <w:rtl w:val="0"/>
        </w:rPr>
        <w:t xml:space="preserve">million pounds (£2,000,000); </w:t>
      </w:r>
      <w:r w:rsidDel="00000000" w:rsidR="00000000" w:rsidRPr="00000000">
        <w:rPr>
          <w:rtl w:val="0"/>
        </w:rPr>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b w:val="1"/>
          <w:color w:val="000000"/>
          <w:sz w:val="24"/>
          <w:szCs w:val="24"/>
          <w:rtl w:val="0"/>
        </w:rPr>
        <w:t xml:space="preserve">employers’ liability insurance</w:t>
      </w:r>
      <w:r w:rsidDel="00000000" w:rsidR="00000000" w:rsidRPr="00000000">
        <w:rPr>
          <w:rFonts w:ascii="Arial" w:cs="Arial" w:eastAsia="Arial" w:hAnsi="Arial"/>
          <w:color w:val="000000"/>
          <w:sz w:val="24"/>
          <w:szCs w:val="24"/>
          <w:rtl w:val="0"/>
        </w:rPr>
        <w:t xml:space="preserve"> with cover (for a single event or a series of related events and in the aggregate) of not less than </w:t>
      </w:r>
      <w:r w:rsidDel="00000000" w:rsidR="00000000" w:rsidRPr="00000000">
        <w:rPr>
          <w:rFonts w:ascii="Arial" w:cs="Arial" w:eastAsia="Arial" w:hAnsi="Arial"/>
          <w:sz w:val="24"/>
          <w:szCs w:val="24"/>
          <w:rtl w:val="0"/>
        </w:rPr>
        <w:t xml:space="preserve">five </w:t>
      </w:r>
      <w:r w:rsidDel="00000000" w:rsidR="00000000" w:rsidRPr="00000000">
        <w:rPr>
          <w:rFonts w:ascii="Arial" w:cs="Arial" w:eastAsia="Arial" w:hAnsi="Arial"/>
          <w:color w:val="000000"/>
          <w:sz w:val="24"/>
          <w:szCs w:val="24"/>
          <w:rtl w:val="0"/>
        </w:rPr>
        <w:t xml:space="preserve">million pounds (£5,000,000)</w:t>
      </w:r>
      <w:r w:rsidDel="00000000" w:rsidR="00000000" w:rsidRPr="00000000">
        <w:rPr>
          <w:rFonts w:ascii="Arial" w:cs="Arial" w:eastAsia="Arial" w:hAnsi="Arial"/>
          <w:sz w:val="24"/>
          <w:szCs w:val="24"/>
          <w:rtl w:val="0"/>
        </w:rPr>
        <w:t xml:space="preserve">; and</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b w:val="1"/>
          <w:sz w:val="24"/>
          <w:szCs w:val="24"/>
          <w:rtl w:val="0"/>
        </w:rPr>
        <w:t xml:space="preserve">product liability insurance</w:t>
      </w:r>
      <w:r w:rsidDel="00000000" w:rsidR="00000000" w:rsidRPr="00000000">
        <w:rPr>
          <w:rFonts w:ascii="Arial" w:cs="Arial" w:eastAsia="Arial" w:hAnsi="Arial"/>
          <w:sz w:val="24"/>
          <w:szCs w:val="24"/>
          <w:rtl w:val="0"/>
        </w:rPr>
        <w:t xml:space="preserve"> with cover (for a single event or a series of related events and in the aggregate) of not less than two million pounds (£2,000,000).</w:t>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62">
    <w:pP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spacing w:after="0" w:lineRule="auto"/>
      <w:jc w:val="left"/>
      <w:rPr>
        <w:color w:val="bfbfbf"/>
      </w:rPr>
    </w:pPr>
    <w:r w:rsidDel="00000000" w:rsidR="00000000" w:rsidRPr="00000000">
      <w:rPr>
        <w:rFonts w:ascii="Arial" w:cs="Arial" w:eastAsia="Arial" w:hAnsi="Arial"/>
        <w:color w:val="bfbfbf"/>
        <w:sz w:val="20"/>
        <w:szCs w:val="20"/>
        <w:rtl w:val="0"/>
      </w:rPr>
      <w:t xml:space="preserve">Model Version : v3.0</w:t>
      <w:tab/>
      <w:tab/>
      <w:tab/>
      <w:tab/>
      <w:tab/>
      <w:tab/>
      <w:tab/>
      <w:tab/>
      <w:tab/>
    </w:r>
    <w:r w:rsidDel="00000000" w:rsidR="00000000" w:rsidRPr="00000000">
      <w:rPr>
        <w:color w:val="bfbfbf"/>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RM6280</w:t>
      <w:tab/>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sz w:val="20"/>
        <w:szCs w:val="20"/>
        <w:rtl w:val="0"/>
      </w:rPr>
      <w:t xml:space="preserve">Model Version: v3.1</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Joint Schedule 3 (Insurance Requirements)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3 (Insurance Requirements)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3">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clear" w:pos="142"/>
      </w:tabs>
      <w:ind w:left="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11table" w:customStyle="1">
    <w:name w:val="1.1 table"/>
    <w:basedOn w:val="Normal"/>
    <w:qFormat w:val="1"/>
    <w:pPr>
      <w:numPr>
        <w:numId w:val="28"/>
      </w:numPr>
      <w:overflowPunct w:val="1"/>
      <w:autoSpaceDE w:val="1"/>
      <w:adjustRightInd w:val="1"/>
      <w:spacing w:after="0"/>
      <w:jc w:val="left"/>
      <w:textAlignment w:val="auto"/>
    </w:pPr>
    <w:rPr>
      <w:rFonts w:cs="Times New Roman" w:eastAsia="STZhongsong"/>
      <w:b w:val="1"/>
      <w:lang w:eastAsia="zh-CN"/>
    </w:rPr>
  </w:style>
  <w:style w:type="numbering" w:styleId="LFO9" w:customStyle="1">
    <w:name w:val="LFO9"/>
    <w:basedOn w:val="NoList"/>
    <w:pPr>
      <w:numPr>
        <w:numId w:val="28"/>
      </w:numPr>
    </w:p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ewll4EiJWrhFP75998aexiPMA==">AMUW2mUF25mhRB2K1iIaugUbJAflzw33sDd4jbwvtMRwO3Rm33b2HGsxElIjc4yZAx4T25GQPF3Ul0rCLXM1pPTkpLais8yF2LxO9uOy2NOHl8vPa7BoxIsQymgHfXO4Zd7QGOVa7NcGjRCmgTdQ9+f22u7NSZzFeSeDrpGfnsapgSAwOOlWBJQI/WhUMAkT9u536GhMmL6/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2023-03-13T16:16:00Z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