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(Lots 2 to 8)</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contract reference number]</w:t>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name]</w:t>
      </w:r>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business address]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of Supplier]</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registered address (if registered)]</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registration number (if registered)]</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p>
    <w:p w:rsidR="00000000" w:rsidDel="00000000" w:rsidP="00000000" w:rsidRDefault="00000000" w:rsidRPr="00000000" w14:paraId="00000010">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highlight w:val="yellow"/>
          <w:rtl w:val="0"/>
        </w:rPr>
        <w:t xml:space="preserve">starting from ‘APPLICABLE FRAMEWORK CONTRACT’ and up to, but not including, the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Signature block</w:t>
      </w:r>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if you, as the Buyer, add to or amend any aspect of any Call-Off 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w:t>
      </w:r>
    </w:p>
    <w:p w:rsidR="00000000" w:rsidDel="00000000" w:rsidP="00000000" w:rsidRDefault="00000000" w:rsidRPr="00000000" w14:paraId="0000001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date of issue]. </w:t>
      </w:r>
    </w:p>
    <w:p w:rsidR="00000000" w:rsidDel="00000000" w:rsidP="00000000" w:rsidRDefault="00000000" w:rsidRPr="00000000" w14:paraId="0000001B">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w:t>
      </w:r>
      <w:r w:rsidDel="00000000" w:rsidR="00000000" w:rsidRPr="00000000">
        <w:rPr>
          <w:rFonts w:ascii="Arial" w:cs="Arial" w:eastAsia="Arial" w:hAnsi="Arial"/>
          <w:b w:val="1"/>
          <w:sz w:val="24"/>
          <w:szCs w:val="24"/>
          <w:rtl w:val="0"/>
        </w:rPr>
        <w:t xml:space="preserve">RM6280</w:t>
      </w:r>
      <w:r w:rsidDel="00000000" w:rsidR="00000000" w:rsidRPr="00000000">
        <w:rPr>
          <w:rFonts w:ascii="Arial" w:cs="Arial" w:eastAsia="Arial" w:hAnsi="Arial"/>
          <w:sz w:val="24"/>
          <w:szCs w:val="24"/>
          <w:rtl w:val="0"/>
        </w:rPr>
        <w:t xml:space="preserve"> for the provision of Postal Services &amp; Solutions.   </w:t>
      </w:r>
    </w:p>
    <w:p w:rsidR="00000000" w:rsidDel="00000000" w:rsidP="00000000" w:rsidRDefault="00000000" w:rsidRPr="00000000" w14:paraId="0000001C">
      <w:pPr>
        <w:tabs>
          <w:tab w:val="left" w:leader="none" w:pos="2257"/>
        </w:tabs>
        <w:spacing w:after="0" w:line="259" w:lineRule="auto"/>
        <w:rPr>
          <w:rFonts w:ascii="Arial" w:cs="Arial" w:eastAsia="Arial" w:hAnsi="Arial"/>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1D">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1E">
      <w:pPr>
        <w:rPr>
          <w:rFonts w:ascii="Arial" w:cs="Arial" w:eastAsia="Arial" w:hAnsi="Arial"/>
          <w:b w:val="1"/>
          <w:i w:val="1"/>
          <w:sz w:val="24"/>
          <w:szCs w:val="24"/>
        </w:rPr>
      </w:pP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“Yes” against the relevant Lot from the table below. </w:t>
      </w:r>
      <w:r w:rsidDel="00000000" w:rsidR="00000000" w:rsidRPr="00000000">
        <w:rPr>
          <w:rFonts w:ascii="Arial" w:cs="Arial" w:eastAsia="Arial" w:hAnsi="Arial"/>
          <w:b w:val="1"/>
          <w:sz w:val="24"/>
          <w:szCs w:val="24"/>
          <w:rtl w:val="0"/>
        </w:rPr>
        <w:t xml:space="preserve">Remove</w:t>
      </w:r>
      <w:r w:rsidDel="00000000" w:rsidR="00000000" w:rsidRPr="00000000">
        <w:rPr>
          <w:rFonts w:ascii="Arial" w:cs="Arial" w:eastAsia="Arial" w:hAnsi="Arial"/>
          <w:sz w:val="24"/>
          <w:szCs w:val="24"/>
          <w:rtl w:val="0"/>
        </w:rPr>
        <w:t xml:space="preserve"> this guidance when complete.]</w:t>
      </w:r>
      <w:r w:rsidDel="00000000" w:rsidR="00000000" w:rsidRPr="00000000">
        <w:rPr>
          <w:rtl w:val="0"/>
        </w:rPr>
      </w:r>
    </w:p>
    <w:tbl>
      <w:tblPr>
        <w:tblStyle w:val="Table1"/>
        <w:tblW w:w="9634.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1129"/>
        <w:gridCol w:w="6804"/>
        <w:gridCol w:w="1701"/>
        <w:tblGridChange w:id="0">
          <w:tblGrid>
            <w:gridCol w:w="1129"/>
            <w:gridCol w:w="6804"/>
            <w:gridCol w:w="1701"/>
          </w:tblGrid>
        </w:tblGridChange>
      </w:tblGrid>
      <w:tr>
        <w:trPr>
          <w:cantSplit w:val="0"/>
          <w:tblHeader w:val="0"/>
        </w:trPr>
        <w:tc>
          <w:tcPr>
            <w:vAlign w:val="center"/>
          </w:tcPr>
          <w:p w:rsidR="00000000" w:rsidDel="00000000" w:rsidP="00000000" w:rsidRDefault="00000000" w:rsidRPr="00000000" w14:paraId="0000001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Number</w:t>
            </w:r>
          </w:p>
        </w:tc>
        <w:tc>
          <w:tcPr>
            <w:vAlign w:val="center"/>
          </w:tcPr>
          <w:p w:rsidR="00000000" w:rsidDel="00000000" w:rsidP="00000000" w:rsidRDefault="00000000" w:rsidRPr="00000000" w14:paraId="0000002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Description</w:t>
            </w:r>
          </w:p>
        </w:tc>
        <w:tc>
          <w:tcPr>
            <w:vAlign w:val="center"/>
          </w:tcPr>
          <w:p w:rsidR="00000000" w:rsidDel="00000000" w:rsidP="00000000" w:rsidRDefault="00000000" w:rsidRPr="00000000" w14:paraId="0000002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Relevant (Yes / No)</w:t>
            </w:r>
          </w:p>
        </w:tc>
      </w:tr>
      <w:tr>
        <w:trPr>
          <w:cantSplit w:val="0"/>
          <w:tblHeader w:val="0"/>
        </w:trPr>
        <w:tc>
          <w:tcPr/>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Collection and Delivery of Letters, Large Letters and Parcels </w:t>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Collection and Delivery of Letters, Large Letters and Parcels to International Destinations</w:t>
            </w:r>
          </w:p>
        </w:tc>
        <w:tc>
          <w:tcPr/>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Audits, Efficiency Reviews and Niche Consultancy</w:t>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Business Process Outsourcing, Mailroom, Document and Data Managed Service</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Hybrid Mail, Digital and Transformational Communications</w:t>
            </w:r>
          </w:p>
        </w:tc>
        <w:tc>
          <w:tcPr/>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Inbound Delivery, Mail Opening and Digital Scanning Services</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Security Screening Services</w:t>
            </w:r>
          </w:p>
        </w:tc>
        <w:tc>
          <w:tcPr/>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7">
      <w:pPr>
        <w:tabs>
          <w:tab w:val="left" w:leader="none" w:pos="2257"/>
        </w:tabs>
        <w:spacing w:after="0" w:line="259" w:lineRule="auto"/>
        <w:ind w:left="2880" w:hanging="288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39">
      <w:pPr>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b w:val="1"/>
          <w:color w:val="000000"/>
          <w:sz w:val="24"/>
          <w:szCs w:val="24"/>
          <w:rtl w:val="0"/>
        </w:rPr>
        <w:t xml:space="preserve">RM6280</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 [</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This will incorporate all of the Framework Special Terms into the Call-Off Contract. This will need to be amended to specify which are included if it is anticipated that some will be excluded.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3D">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Joint Schedule 7</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Call-Off Schedule 8</w:t>
      </w:r>
      <w:r w:rsidDel="00000000" w:rsidR="00000000" w:rsidRPr="00000000">
        <w:rPr>
          <w:rFonts w:ascii="Arial" w:cs="Arial" w:eastAsia="Arial" w:hAnsi="Arial"/>
          <w:color w:val="000000"/>
          <w:sz w:val="24"/>
          <w:szCs w:val="24"/>
          <w:rtl w:val="0"/>
        </w:rPr>
        <w:t xml:space="preserve"> contain optional terms which can be switched on by including the wording in the list below. These optional terms are for use where the Call-Off Contract is a Bronze Contract only.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color w:val="000000"/>
          <w:sz w:val="24"/>
          <w:szCs w:val="24"/>
          <w:rtl w:val="0"/>
        </w:rPr>
        <w:t xml:space="preserve">RM6280</w:t>
      </w:r>
      <w:r w:rsidDel="00000000" w:rsidR="00000000" w:rsidRPr="00000000">
        <w:rPr>
          <w:rtl w:val="0"/>
        </w:rPr>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6 (Key Subcontractors)</w:t>
        <w:tab/>
        <w:tab/>
        <w:tab/>
        <w:tab/>
        <w:t xml:space="preserve">]</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7 (Financial Difficulties) </w:t>
        <w:tab/>
        <w:tab/>
        <w:tab/>
        <w:tab/>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[including Annex 5 – Optional Terms for Bronze Contracts]</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8 (Guarantee) </w:t>
        <w:tab/>
        <w:tab/>
        <w:tab/>
        <w:tab/>
        <w:tab/>
        <w:t xml:space="preserve">]</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9 (Minimum Standards of Reliability)</w:t>
        <w:tab/>
        <w:tab/>
        <w:t xml:space="preserve">]</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ab/>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Call-Off reference number]</w:t>
        <w:tab/>
        <w:tab/>
        <w:tab/>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5 (Pricing Details)</w:t>
        <w:tab/>
        <w:tab/>
        <w:tab/>
        <w:tab/>
        <w:tab/>
        <w:t xml:space="preserve"> ]</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6 (ICT Services) </w:t>
        <w:tab/>
        <w:tab/>
        <w:tab/>
        <w:tab/>
        <w:tab/>
        <w:t xml:space="preserve"> ]</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tab/>
        <w:tab/>
        <w:t xml:space="preserve"> </w:t>
        <w:tab/>
        <w:tab/>
        <w:t xml:space="preserve"> ]</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8 (Business Continuity and Disaster Recovery)]</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[amended for a Bronze Contract as per paragraph 10 of Part A of that Schedule]</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9 (Security)</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10 (Exit Management) </w:t>
        <w:tab/>
        <w:tab/>
        <w:tab/>
        <w:t xml:space="preserve"> </w:t>
        <w:tab/>
        <w:t xml:space="preserve"> ]</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11 (Installation Works) </w:t>
        <w:tab/>
        <w:tab/>
        <w:tab/>
        <w:t xml:space="preserve">  </w:t>
        <w:tab/>
        <w:t xml:space="preserve"> ]</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12 (Clustering) </w:t>
        <w:tab/>
        <w:tab/>
        <w:tab/>
        <w:tab/>
        <w:tab/>
        <w:t xml:space="preserve"> ]</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13 (Implementation Plan and Testing) </w:t>
        <w:tab/>
        <w:tab/>
        <w:t xml:space="preserve"> ]</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14 (Service Levels) </w:t>
        <w:tab/>
        <w:tab/>
        <w:tab/>
        <w:tab/>
        <w:t xml:space="preserve"> ]</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15 (Call-Off Contract Management) </w:t>
        <w:tab/>
        <w:tab/>
        <w:t xml:space="preserve"> ]</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16 (Benchmarking) </w:t>
        <w:tab/>
        <w:tab/>
        <w:tab/>
        <w:tab/>
        <w:t xml:space="preserve"> ]</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17 (MOD Terms) </w:t>
        <w:tab/>
        <w:tab/>
        <w:tab/>
        <w:tab/>
        <w:tab/>
        <w:t xml:space="preserve"> ]</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18 (Background Checks) </w:t>
        <w:tab/>
        <w:tab/>
        <w:tab/>
        <w:t xml:space="preserve"> ]</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19 (Scottish Law)</w:t>
        <w:tab/>
        <w:tab/>
        <w:tab/>
        <w:tab/>
        <w:tab/>
        <w:t xml:space="preserve"> ]</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20 (Call-Off Specification)</w:t>
        <w:tab/>
        <w:tab/>
        <w:tab/>
        <w:t xml:space="preserve"> ]</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21 (Northern Ireland Law) </w:t>
        <w:tab/>
        <w:tab/>
        <w:tab/>
        <w:t xml:space="preserve"> ]</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22 (Lease Terms)</w:t>
        <w:tab/>
        <w:tab/>
        <w:tab/>
        <w:tab/>
        <w:tab/>
        <w:t xml:space="preserve"> ]</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23 (</w:t>
      </w:r>
      <w:r w:rsidDel="00000000" w:rsidR="00000000" w:rsidRPr="00000000">
        <w:rPr>
          <w:rFonts w:ascii="Arial" w:cs="Arial" w:eastAsia="Arial" w:hAnsi="Arial"/>
          <w:sz w:val="24"/>
          <w:szCs w:val="24"/>
          <w:highlight w:val="yellow"/>
          <w:rtl w:val="0"/>
        </w:rPr>
        <w:t xml:space="preserve">HMRC Terms</w:t>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[Call-Off Schedule 24 ()</w:t>
        <w:tab/>
        <w:tab/>
        <w:tab/>
        <w:tab/>
        <w:tab/>
        <w:tab/>
        <w:tab/>
        <w:t xml:space="preserve"> ]</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color w:val="000000"/>
          <w:sz w:val="24"/>
          <w:szCs w:val="24"/>
          <w:rtl w:val="0"/>
        </w:rPr>
        <w:t xml:space="preserve">RM6280</w:t>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as long as any parts of the Call-Off Tender that offer a better commercial position for the Buyer (as decided by the Buyer) take precedence over the documents above.]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6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6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6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terms to revise or supplement Core Terms, Joint Schedules, Call Off Schedule</w:t>
      </w:r>
      <w:bookmarkStart w:colFirst="0" w:colLast="0" w:name="bookmark=id.30j0zll" w:id="3"/>
      <w:bookmarkEnd w:id="3"/>
      <w:r w:rsidDel="00000000" w:rsidR="00000000" w:rsidRPr="00000000">
        <w:rPr>
          <w:rFonts w:ascii="Arial" w:cs="Arial" w:eastAsia="Arial" w:hAnsi="Arial"/>
          <w:sz w:val="24"/>
          <w:szCs w:val="24"/>
          <w:rtl w:val="0"/>
        </w:rPr>
        <w:t xml:space="preserve">s; or none]</w:t>
      </w: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ab/>
        <w:tab/>
        <w:tab/>
        <w:tab/>
        <w:tab/>
        <w:tab/>
        <w:tab/>
        <w:tab/>
        <w:t xml:space="preserve">] </w:t>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ab/>
        <w:tab/>
        <w:tab/>
        <w:tab/>
        <w:tab/>
        <w:tab/>
        <w:tab/>
        <w:tab/>
        <w:t xml:space="preserve">] </w:t>
      </w:r>
    </w:p>
    <w:p w:rsidR="00000000" w:rsidDel="00000000" w:rsidP="00000000" w:rsidRDefault="00000000" w:rsidRPr="00000000" w14:paraId="00000072">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3.</w:t>
        <w:tab/>
        <w:tab/>
        <w:tab/>
        <w:tab/>
        <w:tab/>
        <w:tab/>
        <w:tab/>
        <w:tab/>
        <w:tab/>
        <w:t xml:space="preserve">]</w:t>
      </w:r>
    </w:p>
    <w:p w:rsidR="00000000" w:rsidDel="00000000" w:rsidP="00000000" w:rsidRDefault="00000000" w:rsidRPr="00000000" w14:paraId="00000073">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7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7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7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Years, Months] </w:t>
      </w:r>
    </w:p>
    <w:p w:rsidR="00000000" w:rsidDel="00000000" w:rsidP="00000000" w:rsidRDefault="00000000" w:rsidRPr="00000000" w14:paraId="0000007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7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complete</w:t>
      </w:r>
      <w:r w:rsidDel="00000000" w:rsidR="00000000" w:rsidRPr="00000000">
        <w:rPr>
          <w:rFonts w:ascii="Arial" w:cs="Arial" w:eastAsia="Arial" w:hAnsi="Arial"/>
          <w:sz w:val="24"/>
          <w:szCs w:val="24"/>
          <w:rtl w:val="0"/>
        </w:rPr>
        <w:t xml:space="preserve"> option A or, if Deliverables are too complex for this form,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20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w:t>
      </w:r>
    </w:p>
    <w:p w:rsidR="00000000" w:rsidDel="00000000" w:rsidP="00000000" w:rsidRDefault="00000000" w:rsidRPr="00000000" w14:paraId="0000007D">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 [Name of Deliverable][Quantity][Delivery date][Details]]</w:t>
      </w:r>
      <w:r w:rsidDel="00000000" w:rsidR="00000000" w:rsidRPr="00000000">
        <w:rPr>
          <w:rtl w:val="0"/>
        </w:rPr>
      </w:r>
    </w:p>
    <w:p w:rsidR="00000000" w:rsidDel="00000000" w:rsidP="00000000" w:rsidRDefault="00000000" w:rsidRPr="00000000" w14:paraId="0000007E">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20 (Call-Off Specification)]</w:t>
      </w:r>
      <w:r w:rsidDel="00000000" w:rsidR="00000000" w:rsidRPr="00000000">
        <w:rPr>
          <w:rtl w:val="0"/>
        </w:rPr>
      </w:r>
    </w:p>
    <w:p w:rsidR="00000000" w:rsidDel="00000000" w:rsidP="00000000" w:rsidRDefault="00000000" w:rsidRPr="00000000" w14:paraId="0000007F">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8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you can change the cap on liability in Clause 11.2 where you have made an appropriate risk assessment and sought the necessary management approvals. Unlimited liability is not permitted]</w:t>
      </w:r>
    </w:p>
    <w:p w:rsidR="00000000" w:rsidDel="00000000" w:rsidP="00000000" w:rsidRDefault="00000000" w:rsidRPr="00000000" w14:paraId="0000008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85">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8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A or, if charging model is too complex to detail in this form or must be embedded,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5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 </w:t>
      </w:r>
    </w:p>
    <w:p w:rsidR="00000000" w:rsidDel="00000000" w:rsidP="00000000" w:rsidRDefault="00000000" w:rsidRPr="00000000" w14:paraId="0000008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Charges for the Deliverables]</w:t>
      </w:r>
    </w:p>
    <w:p w:rsidR="00000000" w:rsidDel="00000000" w:rsidP="00000000" w:rsidRDefault="00000000" w:rsidRPr="00000000" w14:paraId="0000008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5 (Pricing Details)]</w:t>
      </w:r>
      <w:r w:rsidDel="00000000" w:rsidR="00000000" w:rsidRPr="00000000">
        <w:rPr>
          <w:rtl w:val="0"/>
        </w:rPr>
      </w:r>
    </w:p>
    <w:p w:rsidR="00000000" w:rsidDel="00000000" w:rsidP="00000000" w:rsidRDefault="00000000" w:rsidRPr="00000000" w14:paraId="0000008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used: All changes to the Charges must use procedures that are equivalent to those in Paragraphs 4, 5 and 6 (if used) in Framework Schedule 3 (Framework Prices)]</w:t>
      </w:r>
    </w:p>
    <w:p w:rsidR="00000000" w:rsidDel="00000000" w:rsidP="00000000" w:rsidRDefault="00000000" w:rsidRPr="00000000" w14:paraId="0000008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if by direct award or if not otherwise used: 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257"/>
        </w:tabs>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using Call-Off Schedule 16 (Benchmarking)</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Price Control Agreement (USO)</w:t>
      </w:r>
    </w:p>
    <w:p w:rsidR="00000000" w:rsidDel="00000000" w:rsidP="00000000" w:rsidRDefault="00000000" w:rsidRPr="00000000" w14:paraId="00000090">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9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9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highlight w:val="yellow"/>
          <w:rtl w:val="0"/>
        </w:rPr>
        <w:t xml:space="preserve">None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9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9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payment method(s) and necessary details]</w:t>
      </w:r>
      <w:r w:rsidDel="00000000" w:rsidR="00000000" w:rsidRPr="00000000">
        <w:rPr>
          <w:rtl w:val="0"/>
        </w:rPr>
      </w:r>
    </w:p>
    <w:p w:rsidR="00000000" w:rsidDel="00000000" w:rsidP="00000000" w:rsidRDefault="00000000" w:rsidRPr="00000000" w14:paraId="0000009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9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9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9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9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9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A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A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A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A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A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A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A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AC">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AD">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B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B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B3">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B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B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B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B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report frequency</w:t>
      </w:r>
      <w:r w:rsidDel="00000000" w:rsidR="00000000" w:rsidRPr="00000000">
        <w:rPr>
          <w:rFonts w:ascii="Arial" w:cs="Arial" w:eastAsia="Arial" w:hAnsi="Arial"/>
          <w:b w:val="1"/>
          <w:sz w:val="24"/>
          <w:szCs w:val="24"/>
          <w:rtl w:val="0"/>
        </w:rPr>
        <w:t xml:space="preserve">: e.g.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B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B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meeting frequency:</w:t>
      </w:r>
      <w:r w:rsidDel="00000000" w:rsidR="00000000" w:rsidRPr="00000000">
        <w:rPr>
          <w:rFonts w:ascii="Arial" w:cs="Arial" w:eastAsia="Arial" w:hAnsi="Arial"/>
          <w:sz w:val="24"/>
          <w:szCs w:val="24"/>
          <w:highlight w:val="yellow"/>
          <w:rtl w:val="0"/>
        </w:rPr>
        <w:t xml:space="preserve"> e.g. </w:t>
      </w: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BC">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B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B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C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C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C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C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 (registered name if registered)] </w:t>
      </w:r>
    </w:p>
    <w:p w:rsidR="00000000" w:rsidDel="00000000" w:rsidP="00000000" w:rsidRDefault="00000000" w:rsidRPr="00000000" w14:paraId="000000C5">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C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Supplier’s Commercially Sensitive Information]  </w:t>
      </w:r>
    </w:p>
    <w:p w:rsidR="00000000" w:rsidDel="00000000" w:rsidP="00000000" w:rsidRDefault="00000000" w:rsidRPr="00000000" w14:paraId="000000C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C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C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Service Credits will accrue in accordance with Call-Off Schedule 14 (Service Levels). </w:t>
      </w:r>
    </w:p>
    <w:p w:rsidR="00000000" w:rsidDel="00000000" w:rsidP="00000000" w:rsidRDefault="00000000" w:rsidRPr="00000000" w14:paraId="000000C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 Cap is: </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£value].</w:t>
      </w:r>
    </w:p>
    <w:p w:rsidR="00000000" w:rsidDel="00000000" w:rsidP="00000000" w:rsidRDefault="00000000" w:rsidRPr="00000000" w14:paraId="000000C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Period is: </w:t>
      </w:r>
      <w:r w:rsidDel="00000000" w:rsidR="00000000" w:rsidRPr="00000000">
        <w:rPr>
          <w:rFonts w:ascii="Arial" w:cs="Arial" w:eastAsia="Arial" w:hAnsi="Arial"/>
          <w:b w:val="1"/>
          <w:sz w:val="24"/>
          <w:szCs w:val="24"/>
          <w:highlight w:val="yellow"/>
          <w:rtl w:val="0"/>
        </w:rPr>
        <w:t xml:space="preserve">[Insert duration:</w:t>
      </w:r>
      <w:r w:rsidDel="00000000" w:rsidR="00000000" w:rsidRPr="00000000">
        <w:rPr>
          <w:rFonts w:ascii="Arial" w:cs="Arial" w:eastAsia="Arial" w:hAnsi="Arial"/>
          <w:sz w:val="24"/>
          <w:szCs w:val="24"/>
          <w:rtl w:val="0"/>
        </w:rPr>
        <w:t xml:space="preserve"> one Month]</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Critical Service Level Failure is: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Buyer</w:t>
      </w:r>
      <w:r w:rsidDel="00000000" w:rsidR="00000000" w:rsidRPr="00000000">
        <w:rPr>
          <w:rFonts w:ascii="Arial" w:cs="Arial" w:eastAsia="Arial" w:hAnsi="Arial"/>
          <w:color w:val="000000"/>
          <w:sz w:val="24"/>
          <w:szCs w:val="24"/>
          <w:highlight w:val="yellow"/>
          <w:rtl w:val="0"/>
        </w:rPr>
        <w:t xml:space="preserve"> to define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CF">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D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D3">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details of Additional Insurances required in accordance with Joint Schedule 3 (Insurance Requirements) ]</w:t>
      </w:r>
    </w:p>
    <w:p w:rsidR="00000000" w:rsidDel="00000000" w:rsidP="00000000" w:rsidRDefault="00000000" w:rsidRPr="00000000" w14:paraId="000000D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D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D7">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must have a Call-Off Guarantor to guarantee their performance using the form in Joint Schedule 8 (Guarantee)</w:t>
      </w:r>
    </w:p>
    <w:p w:rsidR="00000000" w:rsidDel="00000000" w:rsidP="00000000" w:rsidRDefault="00000000" w:rsidRPr="00000000" w14:paraId="000000D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There’s a guarantee of the Supplier's performance provided for all Call-Off Contracts entered under the Framework Contract]</w:t>
      </w:r>
    </w:p>
    <w:p w:rsidR="00000000" w:rsidDel="00000000" w:rsidP="00000000" w:rsidRDefault="00000000" w:rsidRPr="00000000" w14:paraId="000000D9">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DC">
      <w:pPr>
        <w:spacing w:after="240" w:lineRule="auto"/>
        <w:jc w:val="both"/>
        <w:rPr>
          <w:rFonts w:ascii="Arial" w:cs="Arial" w:eastAsia="Arial" w:hAnsi="Arial"/>
          <w:sz w:val="24"/>
          <w:szCs w:val="24"/>
        </w:rPr>
      </w:pPr>
      <w:r w:rsidDel="00000000" w:rsidR="00000000" w:rsidRPr="00000000">
        <w:rPr>
          <w:rtl w:val="0"/>
        </w:rPr>
      </w:r>
    </w:p>
    <w:tbl>
      <w:tblPr>
        <w:tblStyle w:val="Table2"/>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DD">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DF">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E1">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5">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F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color w:val="1f497d"/>
          <w:sz w:val="24"/>
          <w:szCs w:val="24"/>
          <w:highlight w:val="yellow"/>
          <w:rtl w:val="0"/>
        </w:rPr>
        <w:t xml:space="preserve">[</w:t>
      </w:r>
      <w:r w:rsidDel="00000000" w:rsidR="00000000" w:rsidRPr="00000000">
        <w:rPr>
          <w:rFonts w:ascii="Arial" w:cs="Arial" w:eastAsia="Arial" w:hAnsi="Arial"/>
          <w:b w:val="1"/>
          <w:color w:val="1f497d"/>
          <w:sz w:val="24"/>
          <w:szCs w:val="24"/>
          <w:highlight w:val="yellow"/>
          <w:rtl w:val="0"/>
        </w:rPr>
        <w:t xml:space="preserve">Buyer g</w:t>
      </w:r>
      <w:r w:rsidDel="00000000" w:rsidR="00000000" w:rsidRPr="00000000">
        <w:rPr>
          <w:rFonts w:ascii="Arial" w:cs="Arial" w:eastAsia="Arial" w:hAnsi="Arial"/>
          <w:b w:val="1"/>
          <w:sz w:val="24"/>
          <w:szCs w:val="24"/>
          <w:highlight w:val="yellow"/>
          <w:rtl w:val="0"/>
        </w:rPr>
        <w:t xml:space="preserve">uidance: </w:t>
      </w:r>
      <w:r w:rsidDel="00000000" w:rsidR="00000000" w:rsidRPr="00000000">
        <w:rPr>
          <w:rFonts w:ascii="Arial" w:cs="Arial" w:eastAsia="Arial" w:hAnsi="Arial"/>
          <w:color w:val="1f497d"/>
          <w:sz w:val="24"/>
          <w:szCs w:val="24"/>
          <w:rtl w:val="0"/>
        </w:rPr>
        <w:t xml:space="preserve">e</w:t>
      </w:r>
      <w:r w:rsidDel="00000000" w:rsidR="00000000" w:rsidRPr="00000000">
        <w:rPr>
          <w:rFonts w:ascii="Arial" w:cs="Arial" w:eastAsia="Arial" w:hAnsi="Arial"/>
          <w:sz w:val="24"/>
          <w:szCs w:val="24"/>
          <w:rtl w:val="0"/>
        </w:rPr>
        <w:t xml:space="preserve">xecution by seal / deed where required by the Buyer</w:t>
      </w:r>
      <w:r w:rsidDel="00000000" w:rsidR="00000000" w:rsidRPr="00000000">
        <w:rPr>
          <w:rFonts w:ascii="Arial" w:cs="Arial" w:eastAsia="Arial" w:hAnsi="Arial"/>
          <w:color w:val="1f497d"/>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F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RM6280</w:t>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v3.8</w:t>
      <w:tab/>
      <w:t xml:space="preserve">Crown Copyright</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0"/>
        <w:szCs w:val="20"/>
        <w:rtl w:val="0"/>
      </w:rPr>
      <w:t xml:space="preserve">2018</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E+dt/0nN2iacHBEamP0tgsLbTw==">AMUW2mXef6briM6FyGoYFahQ4dt4Pa47TEmw38Ksabw8PTMHAYkfPkSUPKOf8tKJthRsBmHFVvG8ftoEeNh9uNeUrnXaB/i99dyfcBJX5u9s4vYz+ynAbqi88xqqv319ZjvR5xDlwM4OZPzxZUV+h4kdzIXk3iCXfetEOgX2Q1NVJtA9SyUKfIU=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2023-03-14T14:28:00Z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