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0549" w:rsidRDefault="00F50549">
      <w:pPr>
        <w:keepNext/>
        <w:pBdr>
          <w:top w:val="nil"/>
          <w:left w:val="nil"/>
          <w:bottom w:val="nil"/>
          <w:right w:val="nil"/>
          <w:between w:val="nil"/>
        </w:pBdr>
        <w:spacing w:after="0"/>
        <w:jc w:val="left"/>
        <w:rPr>
          <w:rFonts w:ascii="Arial" w:eastAsia="Arial" w:hAnsi="Arial"/>
          <w:b/>
          <w:color w:val="000000"/>
          <w:sz w:val="32"/>
          <w:szCs w:val="32"/>
        </w:rPr>
      </w:pPr>
      <w:bookmarkStart w:id="0" w:name="_GoBack"/>
      <w:bookmarkEnd w:id="0"/>
    </w:p>
    <w:p w14:paraId="00000002" w14:textId="77777777" w:rsidR="00F50549" w:rsidRDefault="00AF4377">
      <w:pPr>
        <w:keepNext/>
        <w:pBdr>
          <w:top w:val="nil"/>
          <w:left w:val="nil"/>
          <w:bottom w:val="nil"/>
          <w:right w:val="nil"/>
          <w:between w:val="nil"/>
        </w:pBdr>
        <w:jc w:val="left"/>
        <w:rPr>
          <w:rFonts w:ascii="Arial" w:eastAsia="Arial" w:hAnsi="Arial"/>
          <w:b/>
          <w:color w:val="000000"/>
          <w:sz w:val="36"/>
          <w:szCs w:val="36"/>
        </w:rPr>
      </w:pPr>
      <w:r>
        <w:rPr>
          <w:rFonts w:ascii="Arial" w:eastAsia="Arial" w:hAnsi="Arial"/>
          <w:b/>
          <w:color w:val="000000"/>
          <w:sz w:val="36"/>
          <w:szCs w:val="36"/>
        </w:rPr>
        <w:t>Call-Off Schedule 11 (Installation Works)</w:t>
      </w:r>
    </w:p>
    <w:p w14:paraId="00000003" w14:textId="77777777" w:rsidR="00F50549" w:rsidRDefault="00AF4377">
      <w:pPr>
        <w:keepNext/>
        <w:keepLines/>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00000004" w14:textId="77777777" w:rsidR="00F50549" w:rsidRDefault="00AF4377">
      <w:pPr>
        <w:keepLines/>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This Schedule is designed to provide additional provisions necessary to facilitate the provision of Deliverables requiring installation by the Supplier.</w:t>
      </w:r>
    </w:p>
    <w:p w14:paraId="00000005" w14:textId="77777777" w:rsidR="00F50549" w:rsidRDefault="00AF4377">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1" w:name="_heading=h.gjdgxs" w:colFirst="0" w:colLast="0"/>
      <w:bookmarkEnd w:id="1"/>
      <w:r>
        <w:rPr>
          <w:rFonts w:ascii="Arial" w:eastAsia="Arial" w:hAnsi="Arial"/>
          <w:b/>
          <w:color w:val="000000"/>
          <w:sz w:val="24"/>
          <w:szCs w:val="24"/>
        </w:rPr>
        <w:t xml:space="preserve">How things must be installed   </w:t>
      </w:r>
    </w:p>
    <w:p w14:paraId="00000006" w14:textId="77777777" w:rsidR="00F50549" w:rsidRDefault="00AF4377">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00000007" w14:textId="77777777" w:rsidR="00F50549" w:rsidRDefault="00AF437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accept the Installation Works, or </w:t>
      </w:r>
    </w:p>
    <w:p w14:paraId="00000008" w14:textId="77777777" w:rsidR="00F50549" w:rsidRDefault="00AF4377">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00000009" w14:textId="77777777" w:rsidR="00F50549" w:rsidRDefault="00AF4377">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0000000A" w14:textId="77777777" w:rsidR="00F50549" w:rsidRDefault="00AF4377">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0000000B" w14:textId="77777777" w:rsidR="00F50549" w:rsidRDefault="00AF4377">
      <w:pPr>
        <w:numPr>
          <w:ilvl w:val="1"/>
          <w:numId w:val="1"/>
        </w:numPr>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Throughout the Contract Period, the Supplier shall have at all times all licences, approvals and consents necessary to enable the Supplier and the Supplier Staff to carry out the Installation Works.</w:t>
      </w:r>
    </w:p>
    <w:sectPr w:rsidR="00F50549">
      <w:headerReference w:type="default" r:id="rId8"/>
      <w:footerReference w:type="default" r:id="rId9"/>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76C2D" w14:textId="77777777" w:rsidR="006108BC" w:rsidRDefault="006108BC">
      <w:pPr>
        <w:spacing w:after="0"/>
      </w:pPr>
      <w:r>
        <w:separator/>
      </w:r>
    </w:p>
  </w:endnote>
  <w:endnote w:type="continuationSeparator" w:id="0">
    <w:p w14:paraId="10B76FD5" w14:textId="77777777" w:rsidR="006108BC" w:rsidRDefault="00610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F50549" w:rsidRDefault="00F50549">
    <w:pPr>
      <w:tabs>
        <w:tab w:val="center" w:pos="4513"/>
        <w:tab w:val="right" w:pos="9026"/>
      </w:tabs>
      <w:spacing w:after="0"/>
    </w:pPr>
  </w:p>
  <w:p w14:paraId="00000015" w14:textId="73393A64" w:rsidR="00F50549" w:rsidRDefault="00AF4377">
    <w:pPr>
      <w:tabs>
        <w:tab w:val="center" w:pos="4513"/>
        <w:tab w:val="right" w:pos="9026"/>
      </w:tabs>
      <w:spacing w:after="0"/>
    </w:pPr>
    <w:r>
      <w:t>Framework Ref: RM</w:t>
    </w:r>
    <w:r w:rsidR="007C0769">
      <w:t>6280</w:t>
    </w:r>
  </w:p>
  <w:p w14:paraId="00000016" w14:textId="77777777" w:rsidR="00F50549" w:rsidRDefault="00AF4377">
    <w:pPr>
      <w:tabs>
        <w:tab w:val="center" w:pos="4513"/>
        <w:tab w:val="right" w:pos="9026"/>
      </w:tabs>
      <w:spacing w:after="0"/>
    </w:pPr>
    <w:r>
      <w:t>Project Version: v1.0</w:t>
    </w:r>
    <w:r>
      <w:tab/>
    </w:r>
    <w:r>
      <w:tab/>
      <w:t xml:space="preserve"> </w:t>
    </w:r>
    <w:bookmarkStart w:id="5" w:name="bookmark=id.3dy6vkm" w:colFirst="0" w:colLast="0"/>
    <w:bookmarkEnd w:id="5"/>
    <w:r>
      <w:t>1</w:t>
    </w:r>
  </w:p>
  <w:p w14:paraId="00000017" w14:textId="77777777" w:rsidR="00F50549" w:rsidRDefault="00AF4377">
    <w:pPr>
      <w:spacing w:after="0"/>
    </w:pPr>
    <w: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6584E" w14:textId="77777777" w:rsidR="006108BC" w:rsidRDefault="006108BC">
      <w:pPr>
        <w:spacing w:after="0"/>
      </w:pPr>
      <w:r>
        <w:separator/>
      </w:r>
    </w:p>
  </w:footnote>
  <w:footnote w:type="continuationSeparator" w:id="0">
    <w:p w14:paraId="7EA735C9" w14:textId="77777777" w:rsidR="006108BC" w:rsidRDefault="006108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0" w14:textId="77777777" w:rsidR="00F50549" w:rsidRDefault="00AF437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00000011" w14:textId="77777777" w:rsidR="00F50549" w:rsidRDefault="00AF4377">
    <w:pPr>
      <w:spacing w:after="0"/>
      <w:rPr>
        <w:rFonts w:ascii="Arial" w:eastAsia="Arial" w:hAnsi="Arial"/>
        <w:sz w:val="20"/>
        <w:szCs w:val="20"/>
      </w:rPr>
    </w:pPr>
    <w:r>
      <w:rPr>
        <w:rFonts w:ascii="Arial" w:eastAsia="Arial" w:hAnsi="Arial"/>
        <w:sz w:val="20"/>
        <w:szCs w:val="20"/>
      </w:rPr>
      <w:t>Call-Off Ref:</w:t>
    </w:r>
  </w:p>
  <w:p w14:paraId="00000012" w14:textId="77777777" w:rsidR="00F50549" w:rsidRDefault="00AF4377">
    <w:pPr>
      <w:spacing w:after="0"/>
      <w:rPr>
        <w:rFonts w:ascii="Arial" w:eastAsia="Arial" w:hAnsi="Arial"/>
        <w:sz w:val="20"/>
        <w:szCs w:val="20"/>
      </w:rPr>
    </w:pPr>
    <w:r>
      <w:rPr>
        <w:rFonts w:ascii="Arial" w:eastAsia="Arial" w:hAnsi="Arial"/>
        <w:sz w:val="20"/>
        <w:szCs w:val="20"/>
      </w:rPr>
      <w:t>Crown Copyright 2018</w:t>
    </w:r>
  </w:p>
  <w:p w14:paraId="00000013" w14:textId="77777777" w:rsidR="00F50549" w:rsidRDefault="00F50549">
    <w:pPr>
      <w:spacing w:after="0"/>
      <w:rPr>
        <w:rFonts w:ascii="Arial" w:eastAsia="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08"/>
    <w:multiLevelType w:val="multilevel"/>
    <w:tmpl w:val="2BE2E426"/>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E57375"/>
    <w:multiLevelType w:val="multilevel"/>
    <w:tmpl w:val="3A74F8EC"/>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49"/>
    <w:rsid w:val="00171F04"/>
    <w:rsid w:val="006108BC"/>
    <w:rsid w:val="007C0769"/>
    <w:rsid w:val="00AF4377"/>
    <w:rsid w:val="00F5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CAD7"/>
  <w15:docId w15:val="{40D7533F-C118-468C-AED1-E6D0D605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5511I0UaPWQDJSi4LVnJLw/2A==">AMUW2mVX5rsVfecO4A+0nnxtPMnNAlTLVrY5MRfa+uuv8j+s9r+WWGgd2+u9fMDl9WhBM9ajfINkJfUrTMLqza7FTRwF3kFqT3pCGnhADdF6QogmC+frw7PCxm+FFOajK6VKG4ty221oO5aR/p9pspNMB61rcpOzKmUmIW8f4CCs9ciUw37umYJ2R5dtVgS18Ubr1oT3hI/6PCCC/mtib7KqHInJLaDbEA==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2023-03-14T13:30:00Z</dcterms:created>
  <dcterms:modified xsi:type="dcterms:W3CDTF">2023-03-14T13:30:00Z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