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243" w:rsidRDefault="005D1243">
      <w:pPr>
        <w:spacing w:after="0" w:line="240" w:lineRule="auto"/>
        <w:rPr>
          <w:rFonts w:ascii="Arial" w:eastAsia="Arial" w:hAnsi="Arial" w:cs="Arial"/>
          <w:b/>
          <w:sz w:val="36"/>
          <w:szCs w:val="36"/>
        </w:rPr>
      </w:pPr>
      <w:bookmarkStart w:id="0" w:name="_GoBack"/>
      <w:bookmarkEnd w:id="0"/>
    </w:p>
    <w:p w:rsidR="005D1243" w:rsidRDefault="00EC49B6">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08" w:type="dxa"/>
        <w:tblLayout w:type="fixed"/>
        <w:tblLook w:val="0000" w:firstRow="0" w:lastRow="0" w:firstColumn="0" w:lastColumn="0" w:noHBand="0" w:noVBand="0"/>
      </w:tblPr>
      <w:tblGrid>
        <w:gridCol w:w="3060"/>
        <w:gridCol w:w="4928"/>
      </w:tblGrid>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w:t>
            </w:r>
            <w:r>
              <w:rPr>
                <w:rFonts w:ascii="Arial" w:eastAsia="Arial" w:hAnsi="Arial" w:cs="Arial"/>
                <w:color w:val="000000"/>
                <w:sz w:val="24"/>
                <w:szCs w:val="24"/>
              </w:rPr>
              <w:t>h Good Industry Practice);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w:t>
            </w:r>
            <w:r>
              <w:rPr>
                <w:rFonts w:ascii="Arial" w:eastAsia="Arial" w:hAnsi="Arial" w:cs="Arial"/>
                <w:color w:val="000000"/>
                <w:sz w:val="24"/>
                <w:szCs w:val="24"/>
              </w:rPr>
              <w:t xml:space="preserve">egister and configuration database referred to in Paragraph 2.2 of this Schedule; </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goods which are substantially similar to any of the Goods and which the Buyer receives in substitution for any of the Goods following the End Date, </w:t>
            </w:r>
            <w:r>
              <w:rPr>
                <w:rFonts w:ascii="Arial" w:eastAsia="Arial" w:hAnsi="Arial" w:cs="Arial"/>
                <w:color w:val="000000"/>
                <w:sz w:val="24"/>
                <w:szCs w:val="24"/>
              </w:rPr>
              <w:t>whether those goods are provided by the Buyer internally and/or by any third party;</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w:t>
            </w:r>
            <w:r>
              <w:rPr>
                <w:rFonts w:ascii="Arial" w:eastAsia="Arial" w:hAnsi="Arial" w:cs="Arial"/>
                <w:b/>
                <w:color w:val="000000"/>
                <w:sz w:val="24"/>
                <w:szCs w:val="24"/>
              </w:rPr>
              <w:t>on Assistance"</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w:t>
            </w:r>
            <w:r>
              <w:rPr>
                <w:rFonts w:ascii="Arial" w:eastAsia="Arial" w:hAnsi="Arial" w:cs="Arial"/>
                <w:color w:val="000000"/>
                <w:sz w:val="24"/>
                <w:szCs w:val="24"/>
              </w:rPr>
              <w:t xml:space="preserve"> of this Schedule;</w:t>
            </w:r>
          </w:p>
        </w:tc>
      </w:tr>
      <w:tr w:rsidR="005D1243">
        <w:tc>
          <w:tcPr>
            <w:tcW w:w="3060" w:type="dxa"/>
          </w:tcPr>
          <w:p w:rsidR="005D1243" w:rsidRDefault="00EC49B6">
            <w:pPr>
              <w:keepNext/>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w:t>
            </w:r>
            <w:r>
              <w:rPr>
                <w:rFonts w:ascii="Arial" w:eastAsia="Arial" w:hAnsi="Arial" w:cs="Arial"/>
                <w:color w:val="000000"/>
                <w:sz w:val="24"/>
                <w:szCs w:val="24"/>
              </w:rPr>
              <w:t>luding in relation to licences all relevant Documentation;</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5D1243">
        <w:tc>
          <w:tcPr>
            <w:tcW w:w="3060" w:type="dxa"/>
          </w:tcPr>
          <w:p w:rsidR="005D1243" w:rsidRDefault="00EC49B6">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5D1243" w:rsidRDefault="00EC49B6">
            <w:pPr>
              <w:numPr>
                <w:ilvl w:val="0"/>
                <w:numId w:val="2"/>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During the Contract Period, the Supplier shall promptly:</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w:t>
      </w:r>
      <w:r>
        <w:rPr>
          <w:rFonts w:ascii="Arial" w:eastAsia="Arial" w:hAnsi="Arial" w:cs="Arial"/>
          <w:color w:val="000000"/>
          <w:sz w:val="24"/>
          <w:szCs w:val="24"/>
        </w:rPr>
        <w:t>et Book Value) and Sub-contracts and other relevant agreements required in connection with the Deliverables;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w:t>
      </w:r>
      <w:r>
        <w:rPr>
          <w:rFonts w:ascii="Arial" w:eastAsia="Arial" w:hAnsi="Arial" w:cs="Arial"/>
          <w:color w:val="000000"/>
          <w:sz w:val="24"/>
          <w:szCs w:val="24"/>
        </w:rPr>
        <w:t xml:space="preserve">s the Deliverables </w:t>
      </w:r>
    </w:p>
    <w:p w:rsidR="005D1243" w:rsidRDefault="00EC49B6">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procure that all licences for Third Party Software and all Sub-Contracts shall be assignable and/</w:t>
      </w:r>
      <w:r>
        <w:rPr>
          <w:rFonts w:ascii="Arial" w:eastAsia="Arial" w:hAnsi="Arial" w:cs="Arial"/>
          <w:color w:val="000000"/>
          <w:sz w:val="24"/>
          <w:szCs w:val="24"/>
        </w:rPr>
        <w:t>or capable of novation (at no cost or restriction to the Buyer) at the request of the Buyer to the Buyer (and/or its nominee) and/or any Replacement Supplier upon the Supplier ceasing to provide the Deliverables (or part of them) and if the Supplier is una</w:t>
      </w:r>
      <w:r>
        <w:rPr>
          <w:rFonts w:ascii="Arial" w:eastAsia="Arial" w:hAnsi="Arial" w:cs="Arial"/>
          <w:color w:val="000000"/>
          <w:sz w:val="24"/>
          <w:szCs w:val="24"/>
        </w:rPr>
        <w:t xml:space="preserve">ble to do so then the Supplier shall promptly notify the Buyer and the Buyer may require the Supplier to procure an alternative Subcontractor or provider of Deliverables.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Assisting re-competition for Deliv</w:t>
      </w:r>
      <w:r>
        <w:rPr>
          <w:rFonts w:ascii="Arial Bold" w:eastAsia="Arial Bold" w:hAnsi="Arial Bold" w:cs="Arial Bold"/>
          <w:b/>
          <w:color w:val="000000"/>
          <w:sz w:val="24"/>
          <w:szCs w:val="24"/>
        </w:rPr>
        <w:t xml:space="preserve">erables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w:t>
      </w:r>
      <w:r>
        <w:rPr>
          <w:rFonts w:ascii="Arial" w:eastAsia="Arial" w:hAnsi="Arial" w:cs="Arial"/>
          <w:color w:val="000000"/>
          <w:sz w:val="24"/>
          <w:szCs w:val="24"/>
        </w:rPr>
        <w:t>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ackno</w:t>
      </w:r>
      <w:r>
        <w:rPr>
          <w:rFonts w:ascii="Arial" w:eastAsia="Arial" w:hAnsi="Arial" w:cs="Arial"/>
          <w:color w:val="000000"/>
          <w:sz w:val="24"/>
          <w:szCs w:val="24"/>
        </w:rPr>
        <w:t>wledges that the Buyer may disclose the Supplier's Confidential Information (excluding the Supplier’s or its Subcontractors’ prices or costs) to an actual or prospective Replacement Supplier to the extent that such disclosure is necessary in connection wit</w:t>
      </w:r>
      <w:r>
        <w:rPr>
          <w:rFonts w:ascii="Arial" w:eastAsia="Arial" w:hAnsi="Arial" w:cs="Arial"/>
          <w:color w:val="000000"/>
          <w:sz w:val="24"/>
          <w:szCs w:val="24"/>
        </w:rPr>
        <w:t>h such engagement.</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w:t>
      </w:r>
      <w:r>
        <w:rPr>
          <w:rFonts w:ascii="Arial" w:eastAsia="Arial" w:hAnsi="Arial" w:cs="Arial"/>
          <w:color w:val="000000"/>
          <w:sz w:val="24"/>
          <w:szCs w:val="24"/>
        </w:rPr>
        <w:t>ersely impact upon the provision of any Deliverables (and shall consult the Buyer in relation to any such changes).</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w:t>
      </w:r>
      <w:r>
        <w:rPr>
          <w:rFonts w:ascii="Arial" w:eastAsia="Arial" w:hAnsi="Arial" w:cs="Arial"/>
          <w:color w:val="000000"/>
          <w:sz w:val="24"/>
          <w:szCs w:val="24"/>
        </w:rPr>
        <w:t>nformed offer for those Deliverables; and not be disadvantaged in any procurement process compared to the Supplier.</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The Supplier shall, within three (3) Months after the Start Date, deliver to the Buyer an Exit Plan which complies with the requir</w:t>
      </w:r>
      <w:r>
        <w:rPr>
          <w:rFonts w:ascii="Arial" w:eastAsia="Arial" w:hAnsi="Arial" w:cs="Arial"/>
          <w:color w:val="000000"/>
          <w:sz w:val="24"/>
          <w:szCs w:val="24"/>
        </w:rPr>
        <w:t xml:space="preserve">ements set out in </w:t>
      </w:r>
      <w:r>
        <w:rPr>
          <w:rFonts w:ascii="Arial" w:eastAsia="Arial" w:hAnsi="Arial" w:cs="Arial"/>
          <w:color w:val="000000"/>
          <w:sz w:val="24"/>
          <w:szCs w:val="24"/>
        </w:rPr>
        <w:lastRenderedPageBreak/>
        <w:t>Paragraph 4.3 of this Schedule and is otherwise reasonably satisfactory to the Buyer.</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0" w:name="_heading=h.2s8eyo1" w:colFirst="0" w:colLast="0"/>
      <w:bookmarkEnd w:id="10"/>
      <w:r>
        <w:rPr>
          <w:rFonts w:ascii="Arial" w:eastAsia="Arial" w:hAnsi="Arial" w:cs="Arial"/>
          <w:color w:val="000000"/>
          <w:sz w:val="24"/>
          <w:szCs w:val="24"/>
        </w:rPr>
        <w:t>The Parties shall use reasonable endeavours to agree the contents of the Exit Plan. If the Parties are unable to agree the contents of the Exit Plan wit</w:t>
      </w:r>
      <w:r>
        <w:rPr>
          <w:rFonts w:ascii="Arial" w:eastAsia="Arial" w:hAnsi="Arial" w:cs="Arial"/>
          <w:color w:val="000000"/>
          <w:sz w:val="24"/>
          <w:szCs w:val="24"/>
        </w:rPr>
        <w:t xml:space="preserve">hin twenty (20) Working Days of the latest date for its submission pursuant to Paragraph 4.1, then such Dispute shall be resolved in accordance with the Dispute Resolution Procedure. </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1" w:name="_heading=h.17dp8vu" w:colFirst="0" w:colLast="0"/>
      <w:bookmarkEnd w:id="11"/>
      <w:r>
        <w:rPr>
          <w:rFonts w:ascii="Arial" w:eastAsia="Arial" w:hAnsi="Arial" w:cs="Arial"/>
          <w:color w:val="000000"/>
          <w:sz w:val="24"/>
          <w:szCs w:val="24"/>
        </w:rPr>
        <w:t>The Exit Plan shall set out, as a minimum:</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w:t>
      </w:r>
      <w:r>
        <w:rPr>
          <w:rFonts w:ascii="Arial" w:eastAsia="Arial" w:hAnsi="Arial" w:cs="Arial"/>
          <w:color w:val="000000"/>
          <w:sz w:val="24"/>
          <w:szCs w:val="24"/>
        </w:rPr>
        <w:t>t Supplier’s staff in connection with the continuation of the provision of the Deliverables following the Expiry Date;</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relating to the use and operation of the Delivera</w:t>
      </w:r>
      <w:r>
        <w:rPr>
          <w:rFonts w:ascii="Arial" w:eastAsia="Arial" w:hAnsi="Arial" w:cs="Arial"/>
          <w:color w:val="000000"/>
          <w:sz w:val="24"/>
          <w:szCs w:val="24"/>
        </w:rPr>
        <w:t xml:space="preserve">bles and required for their continued use; </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w:t>
      </w:r>
      <w:r>
        <w:rPr>
          <w:rFonts w:ascii="Arial" w:eastAsia="Arial" w:hAnsi="Arial" w:cs="Arial"/>
          <w:color w:val="000000"/>
          <w:sz w:val="24"/>
          <w:szCs w:val="24"/>
        </w:rPr>
        <w:t>sion of and/or control of the Supplier or any third party;</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w:t>
      </w:r>
      <w:r>
        <w:rPr>
          <w:rFonts w:ascii="Arial" w:eastAsia="Arial" w:hAnsi="Arial" w:cs="Arial"/>
          <w:color w:val="000000"/>
          <w:sz w:val="24"/>
          <w:szCs w:val="24"/>
        </w:rPr>
        <w:t>nce Period;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The Supplier shall:</w:t>
      </w:r>
    </w:p>
    <w:p w:rsidR="005D1243" w:rsidRDefault="00EC49B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w:t>
      </w:r>
      <w:r>
        <w:rPr>
          <w:rFonts w:ascii="Arial" w:eastAsia="Arial" w:hAnsi="Arial" w:cs="Arial"/>
          <w:color w:val="000000"/>
          <w:sz w:val="24"/>
          <w:szCs w:val="24"/>
        </w:rPr>
        <w:lastRenderedPageBreak/>
        <w:t xml:space="preserve">later than </w:t>
      </w:r>
      <w:r>
        <w:rPr>
          <w:rFonts w:ascii="Arial" w:eastAsia="Arial" w:hAnsi="Arial" w:cs="Arial"/>
          <w:color w:val="000000"/>
          <w:sz w:val="24"/>
          <w:szCs w:val="24"/>
        </w:rPr>
        <w:t>[</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following, any material change to the Deliverables (including all changes under</w:t>
      </w:r>
      <w:r>
        <w:rPr>
          <w:rFonts w:ascii="Arial" w:eastAsia="Arial" w:hAnsi="Arial" w:cs="Arial"/>
          <w:color w:val="000000"/>
          <w:sz w:val="24"/>
          <w:szCs w:val="24"/>
        </w:rPr>
        <w:t xml:space="preserve"> the Variation Procedure); and  </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w:t>
      </w:r>
      <w:r>
        <w:rPr>
          <w:rFonts w:ascii="Arial" w:eastAsia="Arial" w:hAnsi="Arial" w:cs="Arial"/>
          <w:color w:val="000000"/>
          <w:sz w:val="24"/>
          <w:szCs w:val="24"/>
        </w:rPr>
        <w:t xml:space="preserve"> agreed between the parties shall not be superseded by any draft submitted by the Supplier.</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xml:space="preserve">) at least four (4) Months prior to the Expiry Date or as soon </w:t>
      </w:r>
      <w:r>
        <w:rPr>
          <w:rFonts w:ascii="Arial" w:eastAsia="Arial" w:hAnsi="Arial" w:cs="Arial"/>
          <w:color w:val="000000"/>
          <w:sz w:val="24"/>
          <w:szCs w:val="24"/>
        </w:rPr>
        <w:t>as reasonably practicable (but in any event, not later than one (1) Month) following the service by either Party of a Termination Notice. The Termination Assistance Notice shall specify:</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w:t>
      </w:r>
      <w:r>
        <w:rPr>
          <w:rFonts w:ascii="Arial" w:eastAsia="Arial" w:hAnsi="Arial" w:cs="Arial"/>
          <w:color w:val="000000"/>
          <w:sz w:val="24"/>
          <w:szCs w:val="24"/>
        </w:rPr>
        <w:t xml:space="preserve"> and initial period during which it is anticipated that Termination Assistance will be required, which shall continue no longer than twelve (12) Months after the End Date.</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The Buyer shall have an option to extend the Termination Assistance Period beyond th</w:t>
      </w:r>
      <w:r>
        <w:rPr>
          <w:rFonts w:ascii="Arial" w:eastAsia="Arial" w:hAnsi="Arial" w:cs="Arial"/>
          <w:color w:val="000000"/>
          <w:sz w:val="24"/>
          <w:szCs w:val="24"/>
        </w:rPr>
        <w:t>e initial period specified in the Termination Assistance Notice in one or more extensions, in each case provided that:</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rsidR="005D1243" w:rsidRDefault="00EC49B6">
      <w:pPr>
        <w:numPr>
          <w:ilvl w:val="1"/>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w:t>
      </w:r>
      <w:r>
        <w:rPr>
          <w:rFonts w:ascii="Arial" w:eastAsia="Arial" w:hAnsi="Arial" w:cs="Arial"/>
          <w:color w:val="000000"/>
          <w:sz w:val="24"/>
          <w:szCs w:val="24"/>
        </w:rPr>
        <w:t>nation Assistance by serving not less than (20) Working Days' written notice upon the Supplier.</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w:t>
      </w:r>
      <w:r>
        <w:rPr>
          <w:rFonts w:ascii="Arial" w:eastAsia="Arial" w:hAnsi="Arial" w:cs="Arial"/>
          <w:color w:val="000000"/>
          <w:sz w:val="24"/>
          <w:szCs w:val="24"/>
        </w:rPr>
        <w:t xml:space="preserve"> Paragraph 4, the Supplier will provide the Termination Assistance in good faith and in accordance with the principles in this Schedule and the last Buyer approved version of the Exit Plan (insofar as it still applies).</w:t>
      </w:r>
    </w:p>
    <w:p w:rsidR="005D1243" w:rsidRDefault="00EC49B6">
      <w:pPr>
        <w:keepNext/>
        <w:keepLines/>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rsidR="005D1243" w:rsidRDefault="00EC49B6">
      <w:pPr>
        <w:keepNext/>
        <w:keepLines/>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Throughout the Termination Assistance Period the Supplier shall:</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provide to th</w:t>
      </w:r>
      <w:r>
        <w:rPr>
          <w:rFonts w:ascii="Arial" w:eastAsia="Arial" w:hAnsi="Arial" w:cs="Arial"/>
          <w:color w:val="000000"/>
          <w:sz w:val="24"/>
          <w:szCs w:val="24"/>
        </w:rPr>
        <w:t>e Buyer and/or its Replacement Supplier any reasonable assistance and/or access requested by the Buyer and/or its Replacement Supplier including assistance and/or access to facilitate the orderly transfer of responsibility for and conduct of the Deliverabl</w:t>
      </w:r>
      <w:r>
        <w:rPr>
          <w:rFonts w:ascii="Arial" w:eastAsia="Arial" w:hAnsi="Arial" w:cs="Arial"/>
          <w:color w:val="000000"/>
          <w:sz w:val="24"/>
          <w:szCs w:val="24"/>
        </w:rPr>
        <w:t>es to the Buyer and/or its Replacement Supplier;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use all reasonable endeavours to reallocate resources to provide such assistance without additional costs to the Buyer;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subject to Paragraph 6.3, provide the Deliverables and the Termination Assistance at no</w:t>
      </w:r>
      <w:r>
        <w:rPr>
          <w:rFonts w:ascii="Arial" w:eastAsia="Arial" w:hAnsi="Arial" w:cs="Arial"/>
          <w:color w:val="000000"/>
          <w:sz w:val="24"/>
          <w:szCs w:val="24"/>
        </w:rPr>
        <w:t xml:space="preserve"> detriment to the Performance Indicators (PI’s) or Service Levels, the provision of the Management Information or any other reports nor to any other of the Supplier's obligations under this Contract; </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at the Buyer's request and on reasonable notice, delive</w:t>
      </w:r>
      <w:r>
        <w:rPr>
          <w:rFonts w:ascii="Arial" w:eastAsia="Arial" w:hAnsi="Arial" w:cs="Arial"/>
          <w:color w:val="000000"/>
          <w:sz w:val="24"/>
          <w:szCs w:val="24"/>
        </w:rPr>
        <w:t>r up-to-date Registers to the Buyer;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w:t>
      </w:r>
      <w:r>
        <w:rPr>
          <w:rFonts w:ascii="Arial" w:eastAsia="Arial" w:hAnsi="Arial" w:cs="Arial"/>
          <w:color w:val="000000"/>
          <w:sz w:val="24"/>
          <w:szCs w:val="24"/>
        </w:rPr>
        <w:t>l be subject to the Variation Procedure.</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w:t>
      </w:r>
      <w:r>
        <w:rPr>
          <w:rFonts w:ascii="Arial" w:eastAsia="Arial" w:hAnsi="Arial" w:cs="Arial"/>
          <w:color w:val="000000"/>
          <w:sz w:val="24"/>
          <w:szCs w:val="24"/>
        </w:rPr>
        <w:t>ticular Service Levels, the Parties shall vary the relevant Service Levels and/or the applicable Service Credits accordingly.</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2" w:name="_heading=h.4i7ojhp" w:colFirst="0" w:colLast="0"/>
      <w:bookmarkEnd w:id="22"/>
      <w:r>
        <w:rPr>
          <w:rFonts w:ascii="Arial" w:eastAsia="Arial" w:hAnsi="Arial" w:cs="Arial"/>
          <w:color w:val="000000"/>
          <w:sz w:val="24"/>
          <w:szCs w:val="24"/>
        </w:rPr>
        <w:t>The Supplier shall comply with all of its obligations contained in the Exit Plan.</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2xcytpi" w:colFirst="0" w:colLast="0"/>
      <w:bookmarkEnd w:id="2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w:t>
      </w:r>
      <w:r>
        <w:rPr>
          <w:rFonts w:ascii="Arial" w:eastAsia="Arial" w:hAnsi="Arial" w:cs="Arial"/>
          <w:color w:val="000000"/>
          <w:sz w:val="24"/>
          <w:szCs w:val="24"/>
        </w:rPr>
        <w:t xml:space="preserve"> objects contained thereon, other than fair wear and tear, which is caused by the Supplier; </w:t>
      </w:r>
    </w:p>
    <w:p w:rsidR="005D1243" w:rsidRDefault="00EC49B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4" w:name="_heading=h.1ci93xb" w:colFirst="0" w:colLast="0"/>
      <w:bookmarkEnd w:id="24"/>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w:t>
      </w:r>
      <w:r>
        <w:rPr>
          <w:rFonts w:ascii="Arial" w:eastAsia="Arial" w:hAnsi="Arial" w:cs="Arial"/>
          <w:color w:val="000000"/>
          <w:sz w:val="24"/>
          <w:szCs w:val="24"/>
        </w:rPr>
        <w:t>on relating to the Deliverables as remains in the possession or control of the Supplier; and</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 w:name="_heading=h.3whwml4" w:colFirst="0" w:colLast="0"/>
      <w:bookmarkEnd w:id="25"/>
      <w:r>
        <w:rPr>
          <w:rFonts w:ascii="Arial" w:eastAsia="Arial" w:hAnsi="Arial" w:cs="Arial"/>
          <w:color w:val="000000"/>
          <w:sz w:val="24"/>
          <w:szCs w:val="24"/>
        </w:rPr>
        <w:t>such members of the Supplier Staff as have been involved in the design, development and provision of the Deliverables and who are still employed by the Supplier, p</w:t>
      </w:r>
      <w:r>
        <w:rPr>
          <w:rFonts w:ascii="Arial" w:eastAsia="Arial" w:hAnsi="Arial" w:cs="Arial"/>
          <w:color w:val="000000"/>
          <w:sz w:val="24"/>
          <w:szCs w:val="24"/>
        </w:rPr>
        <w:t>rovided that the Buyer and/or the Replacement Supplier shall pay the reasonable costs of the Supplier actually incurred in responding to such requests for access.</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 w:name="_heading=h.2bn6wsx" w:colFirst="0" w:colLast="0"/>
      <w:bookmarkEnd w:id="2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w:t>
      </w:r>
      <w:r>
        <w:rPr>
          <w:rFonts w:ascii="Arial Bold" w:eastAsia="Arial Bold" w:hAnsi="Arial Bold" w:cs="Arial Bold"/>
          <w:b/>
          <w:color w:val="000000"/>
          <w:sz w:val="24"/>
          <w:szCs w:val="24"/>
        </w:rPr>
        <w:t>acts and Software</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7" w:name="_heading=h.qsh70q" w:colFirst="0" w:colLast="0"/>
      <w:bookmarkEnd w:id="2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w:t>
      </w:r>
      <w:r>
        <w:rPr>
          <w:rFonts w:ascii="Arial" w:eastAsia="Arial" w:hAnsi="Arial" w:cs="Arial"/>
          <w:color w:val="000000"/>
          <w:sz w:val="24"/>
          <w:szCs w:val="24"/>
        </w:rPr>
        <w:t>upplier Assets.</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8" w:name="_heading=h.3as4poj" w:colFirst="0" w:colLast="0"/>
      <w:bookmarkEnd w:id="28"/>
      <w:r>
        <w:rPr>
          <w:rFonts w:ascii="Arial" w:eastAsia="Arial" w:hAnsi="Arial" w:cs="Arial"/>
          <w:color w:val="000000"/>
          <w:sz w:val="24"/>
          <w:szCs w:val="24"/>
        </w:rPr>
        <w:t>Within twenty (20) Working Days of receipt of the up-to-date Registers provided by the Supplier, the Buyer shall notify the Supplier setting out:</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9" w:name="_heading=h.1pxezwc" w:colFirst="0" w:colLast="0"/>
      <w:bookmarkEnd w:id="29"/>
      <w:r>
        <w:rPr>
          <w:rFonts w:ascii="Arial" w:eastAsia="Arial" w:hAnsi="Arial" w:cs="Arial"/>
          <w:color w:val="000000"/>
          <w:sz w:val="24"/>
          <w:szCs w:val="24"/>
        </w:rPr>
        <w:t>which, if any, of the Transferable Assets the Buyer requires to be transferred to the Buyer an</w:t>
      </w:r>
      <w:r>
        <w:rPr>
          <w:rFonts w:ascii="Arial" w:eastAsia="Arial" w:hAnsi="Arial" w:cs="Arial"/>
          <w:color w:val="000000"/>
          <w:sz w:val="24"/>
          <w:szCs w:val="24"/>
        </w:rPr>
        <w:t>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5D1243" w:rsidRDefault="00EC49B6">
      <w:pPr>
        <w:keepNext/>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0" w:name="bookmark=id.49x2ik5" w:colFirst="0" w:colLast="0"/>
      <w:bookmarkStart w:id="31" w:name="_heading=h.2p2csry" w:colFirst="0" w:colLast="0"/>
      <w:bookmarkEnd w:id="30"/>
      <w:bookmarkEnd w:id="31"/>
      <w:r>
        <w:rPr>
          <w:rFonts w:ascii="Arial" w:eastAsia="Arial" w:hAnsi="Arial" w:cs="Arial"/>
          <w:color w:val="000000"/>
          <w:sz w:val="24"/>
          <w:szCs w:val="24"/>
        </w:rPr>
        <w:t>which, if any, of:</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5D1243" w:rsidRDefault="00EC49B6">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5D1243" w:rsidRDefault="00EC49B6">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32" w:name="_heading=h.147n2zr" w:colFirst="0" w:colLast="0"/>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5D1243" w:rsidRDefault="00EC49B6">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w:t>
      </w:r>
      <w:r>
        <w:rPr>
          <w:rFonts w:ascii="Arial" w:eastAsia="Arial" w:hAnsi="Arial" w:cs="Arial"/>
          <w:color w:val="000000"/>
          <w:sz w:val="24"/>
          <w:szCs w:val="24"/>
        </w:rPr>
        <w:lastRenderedPageBreak/>
        <w:t>Supplier shall provide all reasonable assistance required by the Buyer and/or its Replacement Supplier to enable it</w:t>
      </w:r>
      <w:r>
        <w:rPr>
          <w:rFonts w:ascii="Arial" w:eastAsia="Arial" w:hAnsi="Arial" w:cs="Arial"/>
          <w:color w:val="000000"/>
          <w:sz w:val="24"/>
          <w:szCs w:val="24"/>
        </w:rPr>
        <w:t xml:space="preserve"> to determine which Transferable Assets and Transferable Contracts are required to provide the Deliverables or the Replacement Goods and/or Replacement Services.</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3" w:name="_heading=h.3o7alnk" w:colFirst="0" w:colLast="0"/>
      <w:bookmarkEnd w:id="33"/>
      <w:r>
        <w:rPr>
          <w:rFonts w:ascii="Arial" w:eastAsia="Arial" w:hAnsi="Arial" w:cs="Arial"/>
          <w:color w:val="000000"/>
          <w:sz w:val="24"/>
          <w:szCs w:val="24"/>
        </w:rPr>
        <w:t xml:space="preserve">With effect from the expiry of the Termination Assistance Period, the Supplier shall sell the </w:t>
      </w:r>
      <w:r>
        <w:rPr>
          <w:rFonts w:ascii="Arial" w:eastAsia="Arial" w:hAnsi="Arial" w:cs="Arial"/>
          <w:color w:val="000000"/>
          <w:sz w:val="24"/>
          <w:szCs w:val="24"/>
        </w:rPr>
        <w:t xml:space="preserve">Transferring Assets to the Buyer and/or the Replacement Supplier for their Net Book Value less any amount already paid for them through the Charges.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4" w:name="_heading=h.23ckvvd" w:colFirst="0" w:colLast="0"/>
      <w:bookmarkEnd w:id="34"/>
      <w:r>
        <w:rPr>
          <w:rFonts w:ascii="Arial" w:eastAsia="Arial" w:hAnsi="Arial" w:cs="Arial"/>
          <w:color w:val="000000"/>
          <w:sz w:val="24"/>
          <w:szCs w:val="24"/>
        </w:rPr>
        <w:t>Where the Buyer and/or the Replacement Supplier requires continue</w:t>
      </w:r>
      <w:r>
        <w:rPr>
          <w:rFonts w:ascii="Arial" w:eastAsia="Arial" w:hAnsi="Arial" w:cs="Arial"/>
          <w:color w:val="000000"/>
          <w:sz w:val="24"/>
          <w:szCs w:val="24"/>
        </w:rPr>
        <w:t>d use of any Exclusive Assets that are not Transferable Assets or any Non-Exclusive Assets, the Supplier shall as soon as reasonably practicable:</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w:t>
      </w:r>
      <w:r>
        <w:rPr>
          <w:rFonts w:ascii="Arial" w:eastAsia="Arial" w:hAnsi="Arial" w:cs="Arial"/>
          <w:color w:val="000000"/>
          <w:sz w:val="24"/>
          <w:szCs w:val="24"/>
        </w:rPr>
        <w:t>er or the Replacement Supplier to bear the reasonable proven costs of procuring the same.</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5" w:name="_heading=h.ihv636" w:colFirst="0" w:colLast="0"/>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w:t>
      </w:r>
      <w:r>
        <w:rPr>
          <w:rFonts w:ascii="Arial" w:eastAsia="Arial" w:hAnsi="Arial" w:cs="Arial"/>
          <w:color w:val="000000"/>
          <w:sz w:val="24"/>
          <w:szCs w:val="24"/>
        </w:rPr>
        <w:t>upplier shall execute such documents and provide such other assistance as the Buyer reasonably requires to effect this novation or assignment.</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6" w:name="_heading=h.32hioqz" w:colFirst="0" w:colLast="0"/>
      <w:bookmarkEnd w:id="36"/>
      <w:r>
        <w:rPr>
          <w:rFonts w:ascii="Arial" w:eastAsia="Arial" w:hAnsi="Arial" w:cs="Arial"/>
          <w:color w:val="000000"/>
          <w:sz w:val="24"/>
          <w:szCs w:val="24"/>
        </w:rPr>
        <w:t>The Buyer shall:</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w:t>
      </w:r>
      <w:r>
        <w:rPr>
          <w:rFonts w:ascii="Arial" w:eastAsia="Arial" w:hAnsi="Arial" w:cs="Arial"/>
          <w:color w:val="000000"/>
          <w:sz w:val="24"/>
          <w:szCs w:val="24"/>
        </w:rPr>
        <w:t>ransferring Contract; and</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w:t>
      </w:r>
      <w:r>
        <w:rPr>
          <w:rFonts w:ascii="Arial" w:eastAsia="Arial" w:hAnsi="Arial" w:cs="Arial"/>
          <w:color w:val="000000"/>
          <w:sz w:val="24"/>
          <w:szCs w:val="24"/>
        </w:rPr>
        <w:t xml:space="preserve"> under that Transferring Contract, or as applicable, procure that the Replacement Supplier does the same.</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w:t>
      </w:r>
      <w:r>
        <w:rPr>
          <w:rFonts w:ascii="Arial" w:eastAsia="Arial" w:hAnsi="Arial" w:cs="Arial"/>
          <w:color w:val="000000"/>
          <w:sz w:val="24"/>
          <w:szCs w:val="24"/>
        </w:rPr>
        <w:t xml:space="preserve"> the Replacement Supplier has taken place.</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7" w:name="_heading=h.1hmsyys" w:colFirst="0" w:colLast="0"/>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w:t>
      </w:r>
      <w:r>
        <w:rPr>
          <w:rFonts w:ascii="Arial" w:eastAsia="Arial" w:hAnsi="Arial" w:cs="Arial"/>
          <w:color w:val="000000"/>
          <w:sz w:val="24"/>
          <w:szCs w:val="24"/>
        </w:rPr>
        <w:t>signed or novated to the Buyer (and/or Replacement Supplier) pursuant to Paragraph 8.6 in relation to any matters arising prior to the date of assignment or novation of such Transferring Contract. Clause 19 (Other people's rights in this contract) shall no</w:t>
      </w:r>
      <w:r>
        <w:rPr>
          <w:rFonts w:ascii="Arial" w:eastAsia="Arial" w:hAnsi="Arial" w:cs="Arial"/>
          <w:color w:val="000000"/>
          <w:sz w:val="24"/>
          <w:szCs w:val="24"/>
        </w:rPr>
        <w:t>t apply to this Paragraph 8.9 which is intended to be enforceable by Third Parties Beneficiaries by virtue of the CRTPA.</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38" w:name="_heading=h.41mghml" w:colFirst="0" w:colLast="0"/>
      <w:bookmarkEnd w:id="38"/>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5D1243" w:rsidRDefault="00EC49B6">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5D1243" w:rsidRDefault="00EC49B6">
      <w:pPr>
        <w:keepNext/>
        <w:numPr>
          <w:ilvl w:val="0"/>
          <w:numId w:val="1"/>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5D1243" w:rsidRDefault="00EC49B6">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9" w:name="_heading=h.2grqrue" w:colFirst="0" w:colLast="0"/>
      <w:bookmarkEnd w:id="39"/>
      <w:r>
        <w:rPr>
          <w:rFonts w:ascii="Arial" w:eastAsia="Arial" w:hAnsi="Arial" w:cs="Arial"/>
          <w:color w:val="000000"/>
          <w:sz w:val="24"/>
          <w:szCs w:val="24"/>
        </w:rPr>
        <w:t>All outgoings, expenses, rents, royalties and other periodical payments receivable in re</w:t>
      </w:r>
      <w:r>
        <w:rPr>
          <w:rFonts w:ascii="Arial" w:eastAsia="Arial" w:hAnsi="Arial" w:cs="Arial"/>
          <w:color w:val="000000"/>
          <w:sz w:val="24"/>
          <w:szCs w:val="24"/>
        </w:rPr>
        <w:t>spect of the Transferring Assets and Transferring Contracts shall be apportioned between the Buyer and/or the Replacement and the Supplier as follows:</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5D1243" w:rsidRDefault="00EC49B6">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5D1243" w:rsidRPr="00156AC2" w:rsidRDefault="00EC49B6" w:rsidP="00156AC2">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w:t>
      </w:r>
      <w:r>
        <w:rPr>
          <w:rFonts w:ascii="Arial" w:eastAsia="Arial" w:hAnsi="Arial" w:cs="Arial"/>
          <w:color w:val="000000"/>
          <w:sz w:val="24"/>
          <w:szCs w:val="24"/>
        </w:rPr>
        <w:t>ier shall be responsible for or entitled to (as the case may be) the rest of the invoice.</w:t>
      </w:r>
    </w:p>
    <w:sectPr w:rsidR="005D1243" w:rsidRPr="00156AC2">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9B6" w:rsidRDefault="00EC49B6">
      <w:pPr>
        <w:spacing w:after="0" w:line="240" w:lineRule="auto"/>
      </w:pPr>
      <w:r>
        <w:separator/>
      </w:r>
    </w:p>
  </w:endnote>
  <w:endnote w:type="continuationSeparator" w:id="0">
    <w:p w:rsidR="00EC49B6" w:rsidRDefault="00EC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43" w:rsidRDefault="005D12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56AC2">
      <w:rPr>
        <w:rFonts w:ascii="Arial" w:eastAsia="Arial" w:hAnsi="Arial" w:cs="Arial"/>
        <w:color w:val="000000"/>
        <w:sz w:val="20"/>
        <w:szCs w:val="20"/>
      </w:rPr>
      <w:fldChar w:fldCharType="separate"/>
    </w:r>
    <w:r w:rsidR="00156AC2">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43" w:rsidRDefault="005D1243">
    <w:pPr>
      <w:tabs>
        <w:tab w:val="center" w:pos="4513"/>
        <w:tab w:val="right" w:pos="9026"/>
      </w:tabs>
      <w:spacing w:after="0"/>
      <w:rPr>
        <w:rFonts w:ascii="Arial" w:eastAsia="Arial" w:hAnsi="Arial" w:cs="Arial"/>
        <w:color w:val="A6A6A6"/>
        <w:sz w:val="20"/>
        <w:szCs w:val="20"/>
      </w:rPr>
    </w:pP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9B6" w:rsidRDefault="00EC49B6">
      <w:pPr>
        <w:spacing w:after="0" w:line="240" w:lineRule="auto"/>
      </w:pPr>
      <w:r>
        <w:separator/>
      </w:r>
    </w:p>
  </w:footnote>
  <w:footnote w:type="continuationSeparator" w:id="0">
    <w:p w:rsidR="00EC49B6" w:rsidRDefault="00EC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5D1243" w:rsidRDefault="00EC49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5D1243" w:rsidRDefault="005D1243">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11F"/>
    <w:multiLevelType w:val="multilevel"/>
    <w:tmpl w:val="E2F6B2A8"/>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 w15:restartNumberingAfterBreak="0">
    <w:nsid w:val="53663A3E"/>
    <w:multiLevelType w:val="multilevel"/>
    <w:tmpl w:val="2768148E"/>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FA528C7"/>
    <w:multiLevelType w:val="multilevel"/>
    <w:tmpl w:val="0CD00B8C"/>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43"/>
    <w:rsid w:val="00156AC2"/>
    <w:rsid w:val="005D1243"/>
    <w:rsid w:val="00EC4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DB9A"/>
  <w15:docId w15:val="{FCB32E53-9975-4673-9434-30B6FC0F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2023-03-14T12:13:00Z</dcterms:created>
  <dcterms:modified xsi:type="dcterms:W3CDTF">2023-03-14T12:13:00Z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