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407" w:rsidRPr="00DE2DAA" w:rsidRDefault="00DE2DAA" w:rsidP="00DE2DAA">
      <w:pPr>
        <w:jc w:val="center"/>
        <w:rPr>
          <w:rFonts w:ascii="Arial" w:hAnsi="Arial" w:cs="Arial"/>
          <w:b/>
          <w:sz w:val="24"/>
          <w:szCs w:val="24"/>
        </w:rPr>
      </w:pPr>
      <w:r w:rsidRPr="00DE2DAA">
        <w:rPr>
          <w:rFonts w:ascii="Arial" w:hAnsi="Arial" w:cs="Arial"/>
          <w:b/>
          <w:sz w:val="24"/>
          <w:szCs w:val="24"/>
        </w:rPr>
        <w:t xml:space="preserve">YORKSHIRE PURCHASING ORGANISATION </w:t>
      </w:r>
      <w:r w:rsidR="00AB0101">
        <w:rPr>
          <w:rFonts w:ascii="Arial" w:hAnsi="Arial" w:cs="Arial"/>
          <w:b/>
          <w:sz w:val="24"/>
          <w:szCs w:val="24"/>
        </w:rPr>
        <w:t xml:space="preserve">EXECUTIVE </w:t>
      </w:r>
      <w:r w:rsidRPr="00DE2DAA">
        <w:rPr>
          <w:rFonts w:ascii="Arial" w:hAnsi="Arial" w:cs="Arial"/>
          <w:b/>
          <w:sz w:val="24"/>
          <w:szCs w:val="24"/>
        </w:rPr>
        <w:t>SUB-COMMITTEE</w:t>
      </w:r>
    </w:p>
    <w:p w:rsidR="00DE2DAA" w:rsidRPr="00AB0101" w:rsidRDefault="00AB0101" w:rsidP="00DE2DAA">
      <w:pPr>
        <w:jc w:val="center"/>
        <w:rPr>
          <w:rFonts w:ascii="Arial" w:hAnsi="Arial" w:cs="Arial"/>
          <w:b/>
          <w:sz w:val="24"/>
          <w:szCs w:val="24"/>
        </w:rPr>
      </w:pPr>
      <w:r w:rsidRPr="00AB0101">
        <w:rPr>
          <w:rFonts w:ascii="Arial" w:hAnsi="Arial" w:cs="Arial"/>
          <w:b/>
          <w:sz w:val="24"/>
          <w:szCs w:val="24"/>
        </w:rPr>
        <w:t>5</w:t>
      </w:r>
      <w:r w:rsidRPr="00AB0101">
        <w:rPr>
          <w:rFonts w:ascii="Arial" w:hAnsi="Arial" w:cs="Arial"/>
          <w:b/>
          <w:sz w:val="24"/>
          <w:szCs w:val="24"/>
          <w:vertAlign w:val="superscript"/>
        </w:rPr>
        <w:t>TH</w:t>
      </w:r>
      <w:r w:rsidRPr="00AB0101">
        <w:rPr>
          <w:rFonts w:ascii="Arial" w:hAnsi="Arial" w:cs="Arial"/>
          <w:b/>
          <w:sz w:val="24"/>
          <w:szCs w:val="24"/>
        </w:rPr>
        <w:t xml:space="preserve"> JUNE 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16"/>
      </w:tblGrid>
      <w:tr w:rsidR="00DE2DAA" w:rsidTr="00DE2DAA">
        <w:tc>
          <w:tcPr>
            <w:tcW w:w="1526" w:type="dxa"/>
          </w:tcPr>
          <w:p w:rsidR="00DE2DAA" w:rsidRDefault="00DE2DAA" w:rsidP="00DE2DAA">
            <w:pPr>
              <w:jc w:val="both"/>
              <w:rPr>
                <w:rFonts w:ascii="Arial" w:hAnsi="Arial" w:cs="Arial"/>
                <w:b/>
                <w:sz w:val="24"/>
                <w:szCs w:val="24"/>
              </w:rPr>
            </w:pPr>
            <w:r>
              <w:rPr>
                <w:rFonts w:ascii="Arial" w:hAnsi="Arial" w:cs="Arial"/>
                <w:b/>
                <w:sz w:val="24"/>
                <w:szCs w:val="24"/>
              </w:rPr>
              <w:t>Present:</w:t>
            </w:r>
          </w:p>
        </w:tc>
        <w:tc>
          <w:tcPr>
            <w:tcW w:w="7716" w:type="dxa"/>
          </w:tcPr>
          <w:p w:rsidR="00DE2DAA" w:rsidRDefault="00DE2DAA" w:rsidP="00DE2DAA">
            <w:pPr>
              <w:jc w:val="both"/>
              <w:rPr>
                <w:rFonts w:ascii="Arial" w:hAnsi="Arial" w:cs="Arial"/>
                <w:sz w:val="24"/>
                <w:szCs w:val="24"/>
              </w:rPr>
            </w:pPr>
            <w:r>
              <w:rPr>
                <w:rFonts w:ascii="Arial" w:hAnsi="Arial" w:cs="Arial"/>
                <w:sz w:val="24"/>
                <w:szCs w:val="24"/>
              </w:rPr>
              <w:t xml:space="preserve">The Chair:  Councillor </w:t>
            </w:r>
            <w:r w:rsidR="002F6C06">
              <w:rPr>
                <w:rFonts w:ascii="Arial" w:hAnsi="Arial" w:cs="Arial"/>
                <w:sz w:val="24"/>
                <w:szCs w:val="24"/>
              </w:rPr>
              <w:t>Sykes (Bradford MBC)</w:t>
            </w:r>
          </w:p>
          <w:p w:rsidR="00DE2DAA" w:rsidRDefault="00DE2DAA" w:rsidP="00F42C46">
            <w:pPr>
              <w:jc w:val="both"/>
              <w:rPr>
                <w:rFonts w:ascii="Arial" w:hAnsi="Arial" w:cs="Arial"/>
                <w:sz w:val="24"/>
                <w:szCs w:val="24"/>
              </w:rPr>
            </w:pPr>
            <w:r>
              <w:rPr>
                <w:rFonts w:ascii="Arial" w:hAnsi="Arial" w:cs="Arial"/>
                <w:sz w:val="24"/>
                <w:szCs w:val="24"/>
              </w:rPr>
              <w:t xml:space="preserve">Councillors – </w:t>
            </w:r>
            <w:r w:rsidR="00F42C46">
              <w:rPr>
                <w:rFonts w:ascii="Arial" w:hAnsi="Arial" w:cs="Arial"/>
                <w:sz w:val="24"/>
                <w:szCs w:val="24"/>
              </w:rPr>
              <w:t>Councillor Mackenzie (North Yorkshire CC), Councillor Stokes (Wakefield MDC), Councillor Walker (Wigan MBC)</w:t>
            </w:r>
          </w:p>
          <w:p w:rsidR="00F42C46" w:rsidRPr="00DE2DAA" w:rsidRDefault="00F42C46" w:rsidP="00F42C46">
            <w:pPr>
              <w:jc w:val="both"/>
              <w:rPr>
                <w:rFonts w:ascii="Arial" w:hAnsi="Arial" w:cs="Arial"/>
                <w:sz w:val="24"/>
                <w:szCs w:val="24"/>
              </w:rPr>
            </w:pPr>
          </w:p>
        </w:tc>
      </w:tr>
      <w:tr w:rsidR="00F42C46" w:rsidTr="00DE2DAA">
        <w:tc>
          <w:tcPr>
            <w:tcW w:w="1526" w:type="dxa"/>
          </w:tcPr>
          <w:p w:rsidR="00F42C46" w:rsidRDefault="00F42C46" w:rsidP="00DE2DAA">
            <w:pPr>
              <w:jc w:val="both"/>
              <w:rPr>
                <w:rFonts w:ascii="Arial" w:hAnsi="Arial" w:cs="Arial"/>
                <w:b/>
                <w:sz w:val="24"/>
                <w:szCs w:val="24"/>
              </w:rPr>
            </w:pPr>
          </w:p>
        </w:tc>
        <w:tc>
          <w:tcPr>
            <w:tcW w:w="7716" w:type="dxa"/>
          </w:tcPr>
          <w:p w:rsidR="00F42C46" w:rsidRDefault="00F42C46" w:rsidP="00DE2DAA">
            <w:pPr>
              <w:jc w:val="both"/>
              <w:rPr>
                <w:rFonts w:ascii="Arial" w:hAnsi="Arial" w:cs="Arial"/>
                <w:sz w:val="24"/>
                <w:szCs w:val="24"/>
              </w:rPr>
            </w:pPr>
          </w:p>
        </w:tc>
      </w:tr>
    </w:tbl>
    <w:p w:rsidR="00DE2DAA" w:rsidRDefault="00DE2DAA" w:rsidP="00DE2DAA">
      <w:pPr>
        <w:jc w:val="both"/>
        <w:rPr>
          <w:rFonts w:ascii="Arial" w:hAnsi="Arial" w:cs="Arial"/>
          <w:b/>
          <w:sz w:val="24"/>
          <w:szCs w:val="24"/>
        </w:rPr>
      </w:pPr>
    </w:p>
    <w:p w:rsidR="005E0210" w:rsidRDefault="005E0210" w:rsidP="00DE2DAA">
      <w:pPr>
        <w:jc w:val="both"/>
        <w:rPr>
          <w:rFonts w:ascii="Arial" w:hAnsi="Arial" w:cs="Arial"/>
          <w:b/>
          <w:sz w:val="24"/>
          <w:szCs w:val="24"/>
        </w:rPr>
      </w:pPr>
    </w:p>
    <w:tbl>
      <w:tblPr>
        <w:tblStyle w:val="TableGrid"/>
        <w:tblW w:w="0" w:type="auto"/>
        <w:tblLook w:val="04A0" w:firstRow="1" w:lastRow="0" w:firstColumn="1" w:lastColumn="0" w:noHBand="0" w:noVBand="1"/>
      </w:tblPr>
      <w:tblGrid>
        <w:gridCol w:w="656"/>
        <w:gridCol w:w="8586"/>
      </w:tblGrid>
      <w:tr w:rsidR="00DE2DAA" w:rsidTr="00DE2DAA">
        <w:tc>
          <w:tcPr>
            <w:tcW w:w="656" w:type="dxa"/>
          </w:tcPr>
          <w:p w:rsidR="00DE2DAA" w:rsidRDefault="002F6C06" w:rsidP="00DE2DAA">
            <w:pPr>
              <w:jc w:val="both"/>
              <w:rPr>
                <w:rFonts w:ascii="Arial" w:hAnsi="Arial" w:cs="Arial"/>
                <w:b/>
                <w:sz w:val="24"/>
                <w:szCs w:val="24"/>
              </w:rPr>
            </w:pPr>
            <w:r>
              <w:rPr>
                <w:rFonts w:ascii="Arial" w:hAnsi="Arial" w:cs="Arial"/>
                <w:b/>
                <w:sz w:val="24"/>
                <w:szCs w:val="24"/>
              </w:rPr>
              <w:t>86</w:t>
            </w:r>
            <w:r w:rsidR="00DE2DAA">
              <w:rPr>
                <w:rFonts w:ascii="Arial" w:hAnsi="Arial" w:cs="Arial"/>
                <w:b/>
                <w:sz w:val="24"/>
                <w:szCs w:val="24"/>
              </w:rPr>
              <w:t>:</w:t>
            </w:r>
          </w:p>
        </w:tc>
        <w:tc>
          <w:tcPr>
            <w:tcW w:w="8586" w:type="dxa"/>
          </w:tcPr>
          <w:p w:rsidR="00DE2DAA" w:rsidRDefault="002F6C06" w:rsidP="00DE2DAA">
            <w:pPr>
              <w:jc w:val="both"/>
              <w:rPr>
                <w:rFonts w:ascii="Arial" w:hAnsi="Arial" w:cs="Arial"/>
                <w:b/>
                <w:sz w:val="24"/>
                <w:szCs w:val="24"/>
              </w:rPr>
            </w:pPr>
            <w:r>
              <w:rPr>
                <w:rFonts w:ascii="Arial" w:hAnsi="Arial" w:cs="Arial"/>
                <w:b/>
                <w:sz w:val="24"/>
                <w:szCs w:val="24"/>
              </w:rPr>
              <w:t>CHAIR’S INTRODUCTION &amp; WELCOME</w:t>
            </w:r>
          </w:p>
        </w:tc>
      </w:tr>
      <w:tr w:rsidR="00DE2DAA" w:rsidTr="00DE2DAA">
        <w:tc>
          <w:tcPr>
            <w:tcW w:w="656" w:type="dxa"/>
          </w:tcPr>
          <w:p w:rsidR="00DE2DAA" w:rsidRDefault="00DE2DAA" w:rsidP="00DE2DAA">
            <w:pPr>
              <w:jc w:val="both"/>
              <w:rPr>
                <w:rFonts w:ascii="Arial" w:hAnsi="Arial" w:cs="Arial"/>
                <w:b/>
                <w:sz w:val="24"/>
                <w:szCs w:val="24"/>
              </w:rPr>
            </w:pPr>
          </w:p>
        </w:tc>
        <w:tc>
          <w:tcPr>
            <w:tcW w:w="8586" w:type="dxa"/>
          </w:tcPr>
          <w:p w:rsidR="00DE2DAA" w:rsidRPr="002F6C06" w:rsidRDefault="002F6C06" w:rsidP="00DE2DAA">
            <w:pPr>
              <w:jc w:val="both"/>
              <w:rPr>
                <w:rFonts w:ascii="Arial" w:hAnsi="Arial" w:cs="Arial"/>
                <w:sz w:val="24"/>
                <w:szCs w:val="24"/>
              </w:rPr>
            </w:pPr>
            <w:r>
              <w:rPr>
                <w:rFonts w:ascii="Arial" w:hAnsi="Arial" w:cs="Arial"/>
                <w:sz w:val="24"/>
                <w:szCs w:val="24"/>
              </w:rPr>
              <w:t>The Vice Chair, Councillor Sykes, welcomed Members to the meeting.</w:t>
            </w:r>
          </w:p>
        </w:tc>
      </w:tr>
      <w:tr w:rsidR="00DE2DAA" w:rsidTr="00DE2DAA">
        <w:tc>
          <w:tcPr>
            <w:tcW w:w="656" w:type="dxa"/>
          </w:tcPr>
          <w:p w:rsidR="00DE2DAA" w:rsidRDefault="00DE2DAA" w:rsidP="00DE2DAA">
            <w:pPr>
              <w:jc w:val="both"/>
              <w:rPr>
                <w:rFonts w:ascii="Arial" w:hAnsi="Arial" w:cs="Arial"/>
                <w:b/>
                <w:sz w:val="24"/>
                <w:szCs w:val="24"/>
              </w:rPr>
            </w:pPr>
          </w:p>
        </w:tc>
        <w:tc>
          <w:tcPr>
            <w:tcW w:w="8586" w:type="dxa"/>
          </w:tcPr>
          <w:p w:rsidR="00DE2DAA" w:rsidRDefault="00DE2DAA" w:rsidP="00DE2DAA">
            <w:pPr>
              <w:jc w:val="both"/>
              <w:rPr>
                <w:rFonts w:ascii="Arial" w:hAnsi="Arial" w:cs="Arial"/>
                <w:b/>
                <w:sz w:val="24"/>
                <w:szCs w:val="24"/>
              </w:rPr>
            </w:pPr>
          </w:p>
        </w:tc>
      </w:tr>
      <w:tr w:rsidR="00DE2DAA" w:rsidTr="00DE2DAA">
        <w:tc>
          <w:tcPr>
            <w:tcW w:w="656" w:type="dxa"/>
          </w:tcPr>
          <w:p w:rsidR="00DE2DAA" w:rsidRDefault="002F6C06" w:rsidP="009D3046">
            <w:pPr>
              <w:jc w:val="both"/>
              <w:rPr>
                <w:rFonts w:ascii="Arial" w:hAnsi="Arial" w:cs="Arial"/>
                <w:b/>
                <w:sz w:val="24"/>
                <w:szCs w:val="24"/>
              </w:rPr>
            </w:pPr>
            <w:r>
              <w:rPr>
                <w:rFonts w:ascii="Arial" w:hAnsi="Arial" w:cs="Arial"/>
                <w:b/>
                <w:sz w:val="24"/>
                <w:szCs w:val="24"/>
              </w:rPr>
              <w:t>87</w:t>
            </w:r>
            <w:r w:rsidR="00DE2DAA">
              <w:rPr>
                <w:rFonts w:ascii="Arial" w:hAnsi="Arial" w:cs="Arial"/>
                <w:b/>
                <w:sz w:val="24"/>
                <w:szCs w:val="24"/>
              </w:rPr>
              <w:t>:</w:t>
            </w:r>
          </w:p>
        </w:tc>
        <w:tc>
          <w:tcPr>
            <w:tcW w:w="8586" w:type="dxa"/>
          </w:tcPr>
          <w:p w:rsidR="00DE2DAA" w:rsidRDefault="002F6C06" w:rsidP="009D3046">
            <w:pPr>
              <w:jc w:val="both"/>
              <w:rPr>
                <w:rFonts w:ascii="Arial" w:hAnsi="Arial" w:cs="Arial"/>
                <w:b/>
                <w:sz w:val="24"/>
                <w:szCs w:val="24"/>
              </w:rPr>
            </w:pPr>
            <w:r>
              <w:rPr>
                <w:rFonts w:ascii="Arial" w:hAnsi="Arial" w:cs="Arial"/>
                <w:b/>
                <w:sz w:val="24"/>
                <w:szCs w:val="24"/>
              </w:rPr>
              <w:t>APOLOGIES FOR ABSENCE</w:t>
            </w:r>
          </w:p>
        </w:tc>
      </w:tr>
      <w:tr w:rsidR="00DE2DAA" w:rsidTr="00DE2DAA">
        <w:tc>
          <w:tcPr>
            <w:tcW w:w="656" w:type="dxa"/>
          </w:tcPr>
          <w:p w:rsidR="00DE2DAA" w:rsidRDefault="00DE2DAA" w:rsidP="009D3046">
            <w:pPr>
              <w:jc w:val="both"/>
              <w:rPr>
                <w:rFonts w:ascii="Arial" w:hAnsi="Arial" w:cs="Arial"/>
                <w:b/>
                <w:sz w:val="24"/>
                <w:szCs w:val="24"/>
              </w:rPr>
            </w:pPr>
          </w:p>
        </w:tc>
        <w:tc>
          <w:tcPr>
            <w:tcW w:w="8586" w:type="dxa"/>
          </w:tcPr>
          <w:p w:rsidR="00DE2DAA" w:rsidRDefault="002F6C06" w:rsidP="002F6C06">
            <w:pPr>
              <w:jc w:val="both"/>
              <w:rPr>
                <w:rFonts w:ascii="Arial" w:hAnsi="Arial" w:cs="Arial"/>
                <w:sz w:val="24"/>
                <w:szCs w:val="24"/>
              </w:rPr>
            </w:pPr>
            <w:r>
              <w:rPr>
                <w:rFonts w:ascii="Arial" w:hAnsi="Arial" w:cs="Arial"/>
                <w:sz w:val="24"/>
                <w:szCs w:val="24"/>
              </w:rPr>
              <w:t>Apologies for absence submitted prior to the meeting were accepted on behalf of Councillor Keats (</w:t>
            </w:r>
            <w:proofErr w:type="spellStart"/>
            <w:r>
              <w:rPr>
                <w:rFonts w:ascii="Arial" w:hAnsi="Arial" w:cs="Arial"/>
                <w:sz w:val="24"/>
                <w:szCs w:val="24"/>
              </w:rPr>
              <w:t>Knowsl</w:t>
            </w:r>
            <w:r w:rsidR="00E23CD7">
              <w:rPr>
                <w:rFonts w:ascii="Arial" w:hAnsi="Arial" w:cs="Arial"/>
                <w:sz w:val="24"/>
                <w:szCs w:val="24"/>
              </w:rPr>
              <w:t>ey</w:t>
            </w:r>
            <w:proofErr w:type="spellEnd"/>
            <w:r w:rsidR="00E23CD7">
              <w:rPr>
                <w:rFonts w:ascii="Arial" w:hAnsi="Arial" w:cs="Arial"/>
                <w:sz w:val="24"/>
                <w:szCs w:val="24"/>
              </w:rPr>
              <w:t>), Councillor Kenny (Wigan</w:t>
            </w:r>
            <w:r>
              <w:rPr>
                <w:rFonts w:ascii="Arial" w:hAnsi="Arial" w:cs="Arial"/>
                <w:sz w:val="24"/>
                <w:szCs w:val="24"/>
              </w:rPr>
              <w:t>)</w:t>
            </w:r>
            <w:r w:rsidR="00E23CD7">
              <w:rPr>
                <w:rFonts w:ascii="Arial" w:hAnsi="Arial" w:cs="Arial"/>
                <w:sz w:val="24"/>
                <w:szCs w:val="24"/>
              </w:rPr>
              <w:t>.</w:t>
            </w:r>
          </w:p>
          <w:p w:rsidR="002F6C06" w:rsidRPr="002F6C06" w:rsidRDefault="002F6C06" w:rsidP="002F6C06">
            <w:pPr>
              <w:jc w:val="both"/>
              <w:rPr>
                <w:rFonts w:ascii="Arial" w:hAnsi="Arial" w:cs="Arial"/>
                <w:sz w:val="24"/>
                <w:szCs w:val="24"/>
              </w:rPr>
            </w:pPr>
          </w:p>
        </w:tc>
      </w:tr>
      <w:tr w:rsidR="00DE2DAA" w:rsidTr="00DE2DAA">
        <w:tc>
          <w:tcPr>
            <w:tcW w:w="656" w:type="dxa"/>
          </w:tcPr>
          <w:p w:rsidR="00DE2DAA" w:rsidRDefault="00DE2DAA" w:rsidP="00DE2DAA">
            <w:pPr>
              <w:jc w:val="both"/>
              <w:rPr>
                <w:rFonts w:ascii="Arial" w:hAnsi="Arial" w:cs="Arial"/>
                <w:b/>
                <w:sz w:val="24"/>
                <w:szCs w:val="24"/>
              </w:rPr>
            </w:pPr>
          </w:p>
        </w:tc>
        <w:tc>
          <w:tcPr>
            <w:tcW w:w="8586" w:type="dxa"/>
          </w:tcPr>
          <w:p w:rsidR="00DE2DAA" w:rsidRDefault="00DE2DAA" w:rsidP="00DE2DAA">
            <w:pPr>
              <w:jc w:val="both"/>
              <w:rPr>
                <w:rFonts w:ascii="Arial" w:hAnsi="Arial" w:cs="Arial"/>
                <w:b/>
                <w:sz w:val="24"/>
                <w:szCs w:val="24"/>
              </w:rPr>
            </w:pPr>
          </w:p>
        </w:tc>
      </w:tr>
      <w:tr w:rsidR="002F6C06" w:rsidTr="00DE2DAA">
        <w:tc>
          <w:tcPr>
            <w:tcW w:w="656" w:type="dxa"/>
          </w:tcPr>
          <w:p w:rsidR="002F6C06" w:rsidRDefault="002F6C06" w:rsidP="003935D1">
            <w:pPr>
              <w:jc w:val="both"/>
              <w:rPr>
                <w:rFonts w:ascii="Arial" w:hAnsi="Arial" w:cs="Arial"/>
                <w:b/>
                <w:sz w:val="24"/>
                <w:szCs w:val="24"/>
              </w:rPr>
            </w:pPr>
            <w:r>
              <w:rPr>
                <w:rFonts w:ascii="Arial" w:hAnsi="Arial" w:cs="Arial"/>
                <w:b/>
                <w:sz w:val="24"/>
                <w:szCs w:val="24"/>
              </w:rPr>
              <w:t>88:</w:t>
            </w:r>
          </w:p>
        </w:tc>
        <w:tc>
          <w:tcPr>
            <w:tcW w:w="8586" w:type="dxa"/>
          </w:tcPr>
          <w:p w:rsidR="002F6C06" w:rsidRDefault="002F6C06" w:rsidP="003935D1">
            <w:pPr>
              <w:jc w:val="both"/>
              <w:rPr>
                <w:rFonts w:ascii="Arial" w:hAnsi="Arial" w:cs="Arial"/>
                <w:b/>
                <w:sz w:val="24"/>
                <w:szCs w:val="24"/>
              </w:rPr>
            </w:pPr>
            <w:r>
              <w:rPr>
                <w:rFonts w:ascii="Arial" w:hAnsi="Arial" w:cs="Arial"/>
                <w:b/>
                <w:sz w:val="24"/>
                <w:szCs w:val="24"/>
              </w:rPr>
              <w:t>MEMBERS DECLARATION OF INTEREST</w:t>
            </w:r>
          </w:p>
        </w:tc>
      </w:tr>
      <w:tr w:rsidR="002F6C06" w:rsidTr="00DE2DAA">
        <w:tc>
          <w:tcPr>
            <w:tcW w:w="656" w:type="dxa"/>
          </w:tcPr>
          <w:p w:rsidR="002F6C06" w:rsidRDefault="002F6C06" w:rsidP="003935D1">
            <w:pPr>
              <w:jc w:val="both"/>
              <w:rPr>
                <w:rFonts w:ascii="Arial" w:hAnsi="Arial" w:cs="Arial"/>
                <w:b/>
                <w:sz w:val="24"/>
                <w:szCs w:val="24"/>
              </w:rPr>
            </w:pPr>
          </w:p>
        </w:tc>
        <w:tc>
          <w:tcPr>
            <w:tcW w:w="8586" w:type="dxa"/>
          </w:tcPr>
          <w:p w:rsidR="002F6C06" w:rsidRPr="002F6C06" w:rsidRDefault="002F6C06" w:rsidP="003935D1">
            <w:pPr>
              <w:jc w:val="both"/>
              <w:rPr>
                <w:rFonts w:ascii="Arial" w:hAnsi="Arial" w:cs="Arial"/>
                <w:sz w:val="24"/>
                <w:szCs w:val="24"/>
              </w:rPr>
            </w:pPr>
            <w:r>
              <w:rPr>
                <w:rFonts w:ascii="Arial" w:hAnsi="Arial" w:cs="Arial"/>
                <w:sz w:val="24"/>
                <w:szCs w:val="24"/>
              </w:rPr>
              <w:t>No declarations of interest were made</w:t>
            </w:r>
          </w:p>
        </w:tc>
      </w:tr>
      <w:tr w:rsidR="002F6C06" w:rsidTr="00DE2DAA">
        <w:tc>
          <w:tcPr>
            <w:tcW w:w="656" w:type="dxa"/>
          </w:tcPr>
          <w:p w:rsidR="002F6C06" w:rsidRDefault="002F6C06" w:rsidP="00DE2DAA">
            <w:pPr>
              <w:jc w:val="both"/>
              <w:rPr>
                <w:rFonts w:ascii="Arial" w:hAnsi="Arial" w:cs="Arial"/>
                <w:b/>
                <w:sz w:val="24"/>
                <w:szCs w:val="24"/>
              </w:rPr>
            </w:pPr>
          </w:p>
        </w:tc>
        <w:tc>
          <w:tcPr>
            <w:tcW w:w="8586" w:type="dxa"/>
          </w:tcPr>
          <w:p w:rsidR="002F6C06" w:rsidRDefault="002F6C06" w:rsidP="00DE2DAA">
            <w:pPr>
              <w:jc w:val="both"/>
              <w:rPr>
                <w:rFonts w:ascii="Arial" w:hAnsi="Arial" w:cs="Arial"/>
                <w:b/>
                <w:sz w:val="24"/>
                <w:szCs w:val="24"/>
              </w:rPr>
            </w:pPr>
          </w:p>
        </w:tc>
      </w:tr>
      <w:tr w:rsidR="002F6C06" w:rsidTr="00DE2DAA">
        <w:tc>
          <w:tcPr>
            <w:tcW w:w="656" w:type="dxa"/>
          </w:tcPr>
          <w:p w:rsidR="002F6C06" w:rsidRDefault="002F6C06" w:rsidP="002F6C06">
            <w:pPr>
              <w:jc w:val="both"/>
              <w:rPr>
                <w:rFonts w:ascii="Arial" w:hAnsi="Arial" w:cs="Arial"/>
                <w:b/>
                <w:sz w:val="24"/>
                <w:szCs w:val="24"/>
              </w:rPr>
            </w:pPr>
            <w:r>
              <w:rPr>
                <w:rFonts w:ascii="Arial" w:hAnsi="Arial" w:cs="Arial"/>
                <w:b/>
                <w:sz w:val="24"/>
                <w:szCs w:val="24"/>
              </w:rPr>
              <w:t>89:</w:t>
            </w:r>
          </w:p>
        </w:tc>
        <w:tc>
          <w:tcPr>
            <w:tcW w:w="8586" w:type="dxa"/>
          </w:tcPr>
          <w:p w:rsidR="002F6C06" w:rsidRDefault="002F6C06" w:rsidP="009D3046">
            <w:pPr>
              <w:jc w:val="both"/>
              <w:rPr>
                <w:rFonts w:ascii="Arial" w:hAnsi="Arial" w:cs="Arial"/>
                <w:b/>
                <w:sz w:val="24"/>
                <w:szCs w:val="24"/>
              </w:rPr>
            </w:pPr>
            <w:r>
              <w:rPr>
                <w:rFonts w:ascii="Arial" w:hAnsi="Arial" w:cs="Arial"/>
                <w:b/>
                <w:sz w:val="24"/>
                <w:szCs w:val="24"/>
              </w:rPr>
              <w:t>MINUTES – 13</w:t>
            </w:r>
            <w:r w:rsidRPr="002F6C06">
              <w:rPr>
                <w:rFonts w:ascii="Arial" w:hAnsi="Arial" w:cs="Arial"/>
                <w:b/>
                <w:sz w:val="24"/>
                <w:szCs w:val="24"/>
                <w:vertAlign w:val="superscript"/>
              </w:rPr>
              <w:t>TH</w:t>
            </w:r>
            <w:r>
              <w:rPr>
                <w:rFonts w:ascii="Arial" w:hAnsi="Arial" w:cs="Arial"/>
                <w:b/>
                <w:sz w:val="24"/>
                <w:szCs w:val="24"/>
              </w:rPr>
              <w:t xml:space="preserve"> FEBRUARY 2015</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Pr="002F6C06" w:rsidRDefault="002F6C06" w:rsidP="009D3046">
            <w:pPr>
              <w:jc w:val="both"/>
              <w:rPr>
                <w:rFonts w:ascii="Arial" w:hAnsi="Arial" w:cs="Arial"/>
                <w:sz w:val="24"/>
                <w:szCs w:val="24"/>
              </w:rPr>
            </w:pPr>
            <w:r>
              <w:rPr>
                <w:rFonts w:ascii="Arial" w:hAnsi="Arial" w:cs="Arial"/>
                <w:b/>
                <w:sz w:val="24"/>
                <w:szCs w:val="24"/>
              </w:rPr>
              <w:t xml:space="preserve">Resolved – </w:t>
            </w:r>
            <w:r>
              <w:rPr>
                <w:rFonts w:ascii="Arial" w:hAnsi="Arial" w:cs="Arial"/>
                <w:sz w:val="24"/>
                <w:szCs w:val="24"/>
              </w:rPr>
              <w:t>That the Minutes of the meeting of the YPO Executive Sub-Committee held on 13</w:t>
            </w:r>
            <w:r w:rsidRPr="002F6C06">
              <w:rPr>
                <w:rFonts w:ascii="Arial" w:hAnsi="Arial" w:cs="Arial"/>
                <w:sz w:val="24"/>
                <w:szCs w:val="24"/>
                <w:vertAlign w:val="superscript"/>
              </w:rPr>
              <w:t>th</w:t>
            </w:r>
            <w:r>
              <w:rPr>
                <w:rFonts w:ascii="Arial" w:hAnsi="Arial" w:cs="Arial"/>
                <w:sz w:val="24"/>
                <w:szCs w:val="24"/>
              </w:rPr>
              <w:t xml:space="preserve"> February 2015 be approved as a true and accurate record.</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Default="002F6C06" w:rsidP="009D3046">
            <w:pPr>
              <w:jc w:val="both"/>
              <w:rPr>
                <w:rFonts w:ascii="Arial" w:hAnsi="Arial" w:cs="Arial"/>
                <w:b/>
                <w:sz w:val="24"/>
                <w:szCs w:val="24"/>
              </w:rPr>
            </w:pPr>
          </w:p>
        </w:tc>
      </w:tr>
      <w:tr w:rsidR="002F6C06" w:rsidTr="00DE2DAA">
        <w:tc>
          <w:tcPr>
            <w:tcW w:w="656" w:type="dxa"/>
          </w:tcPr>
          <w:p w:rsidR="002F6C06" w:rsidRDefault="002F6C06" w:rsidP="009D3046">
            <w:pPr>
              <w:jc w:val="both"/>
              <w:rPr>
                <w:rFonts w:ascii="Arial" w:hAnsi="Arial" w:cs="Arial"/>
                <w:b/>
                <w:sz w:val="24"/>
                <w:szCs w:val="24"/>
              </w:rPr>
            </w:pPr>
            <w:r>
              <w:rPr>
                <w:rFonts w:ascii="Arial" w:hAnsi="Arial" w:cs="Arial"/>
                <w:b/>
                <w:sz w:val="24"/>
                <w:szCs w:val="24"/>
              </w:rPr>
              <w:t>90:</w:t>
            </w:r>
          </w:p>
        </w:tc>
        <w:tc>
          <w:tcPr>
            <w:tcW w:w="8586" w:type="dxa"/>
          </w:tcPr>
          <w:p w:rsidR="002F6C06" w:rsidRDefault="002F6C06" w:rsidP="009D3046">
            <w:pPr>
              <w:jc w:val="both"/>
              <w:rPr>
                <w:rFonts w:ascii="Arial" w:hAnsi="Arial" w:cs="Arial"/>
                <w:b/>
                <w:sz w:val="24"/>
                <w:szCs w:val="24"/>
              </w:rPr>
            </w:pPr>
            <w:r>
              <w:rPr>
                <w:rFonts w:ascii="Arial" w:hAnsi="Arial" w:cs="Arial"/>
                <w:b/>
                <w:sz w:val="24"/>
                <w:szCs w:val="24"/>
              </w:rPr>
              <w:t>EXECUTIVE SUB-COMMITTEE WORK PROGRAMME &amp; TERMS OF REFERENCE 2015/16</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Default="002F6C06" w:rsidP="002F6C06">
            <w:pPr>
              <w:rPr>
                <w:rFonts w:ascii="Arial" w:hAnsi="Arial" w:cs="Arial"/>
                <w:sz w:val="24"/>
                <w:szCs w:val="24"/>
              </w:rPr>
            </w:pPr>
            <w:r>
              <w:rPr>
                <w:rFonts w:ascii="Arial" w:hAnsi="Arial" w:cs="Arial"/>
                <w:sz w:val="24"/>
                <w:szCs w:val="24"/>
              </w:rPr>
              <w:t xml:space="preserve">A report of the Managing Director provided an overview of the work scheduled for </w:t>
            </w:r>
            <w:r w:rsidR="00DF3A21">
              <w:rPr>
                <w:rFonts w:ascii="Arial" w:hAnsi="Arial" w:cs="Arial"/>
                <w:sz w:val="24"/>
                <w:szCs w:val="24"/>
              </w:rPr>
              <w:t xml:space="preserve">Executive </w:t>
            </w:r>
            <w:r>
              <w:rPr>
                <w:rFonts w:ascii="Arial" w:hAnsi="Arial" w:cs="Arial"/>
                <w:sz w:val="24"/>
                <w:szCs w:val="24"/>
              </w:rPr>
              <w:t>Sub-Committee for the 2015/16 cycle.  This report also proposed the Terms of Reference, Principal Agenda Items, 2015/16 meeting schedule and training plan.</w:t>
            </w:r>
          </w:p>
          <w:p w:rsidR="00F42C46" w:rsidRDefault="00F42C46" w:rsidP="002F6C06">
            <w:pPr>
              <w:rPr>
                <w:rFonts w:ascii="Arial" w:hAnsi="Arial" w:cs="Arial"/>
                <w:sz w:val="24"/>
                <w:szCs w:val="24"/>
              </w:rPr>
            </w:pPr>
          </w:p>
          <w:p w:rsidR="002F6C06" w:rsidRDefault="00F42C46" w:rsidP="002F6C06">
            <w:pPr>
              <w:rPr>
                <w:rFonts w:ascii="Arial" w:hAnsi="Arial" w:cs="Arial"/>
                <w:sz w:val="24"/>
                <w:szCs w:val="24"/>
              </w:rPr>
            </w:pPr>
            <w:r>
              <w:rPr>
                <w:rFonts w:ascii="Arial" w:hAnsi="Arial" w:cs="Arial"/>
                <w:sz w:val="24"/>
                <w:szCs w:val="24"/>
              </w:rPr>
              <w:t>Councillor Sykes noted that the word of the Terms of Reference read as though the Executive Sub Committee approved plans and budget before submission to the Management Committee – this isn’t the case and it was agreed to change this word</w:t>
            </w:r>
            <w:r w:rsidR="006E6B71">
              <w:rPr>
                <w:rFonts w:ascii="Arial" w:hAnsi="Arial" w:cs="Arial"/>
                <w:sz w:val="24"/>
                <w:szCs w:val="24"/>
              </w:rPr>
              <w:t>ing</w:t>
            </w:r>
            <w:r>
              <w:rPr>
                <w:rFonts w:ascii="Arial" w:hAnsi="Arial" w:cs="Arial"/>
                <w:sz w:val="24"/>
                <w:szCs w:val="24"/>
              </w:rPr>
              <w:t xml:space="preserve"> to reflect that the Sub-Committee ‘review and recommend’ to Management Committee.</w:t>
            </w:r>
          </w:p>
          <w:p w:rsidR="002F6C06" w:rsidRDefault="002F6C06" w:rsidP="002F6C06">
            <w:pPr>
              <w:rPr>
                <w:rFonts w:ascii="Arial" w:hAnsi="Arial" w:cs="Arial"/>
                <w:sz w:val="24"/>
                <w:szCs w:val="24"/>
              </w:rPr>
            </w:pPr>
          </w:p>
          <w:p w:rsidR="002F6C06" w:rsidRDefault="002F6C06" w:rsidP="002F6C06">
            <w:pPr>
              <w:rPr>
                <w:rFonts w:ascii="Arial" w:hAnsi="Arial" w:cs="Arial"/>
                <w:sz w:val="24"/>
                <w:szCs w:val="24"/>
              </w:rPr>
            </w:pPr>
            <w:proofErr w:type="gramStart"/>
            <w:r>
              <w:rPr>
                <w:rFonts w:ascii="Arial" w:hAnsi="Arial" w:cs="Arial"/>
                <w:b/>
                <w:sz w:val="24"/>
                <w:szCs w:val="24"/>
              </w:rPr>
              <w:t>Resolved</w:t>
            </w:r>
            <w:r>
              <w:rPr>
                <w:rFonts w:ascii="Arial" w:hAnsi="Arial" w:cs="Arial"/>
                <w:sz w:val="24"/>
                <w:szCs w:val="24"/>
              </w:rPr>
              <w:t xml:space="preserve">  (</w:t>
            </w:r>
            <w:proofErr w:type="gramEnd"/>
            <w:r>
              <w:rPr>
                <w:rFonts w:ascii="Arial" w:hAnsi="Arial" w:cs="Arial"/>
                <w:sz w:val="24"/>
                <w:szCs w:val="24"/>
              </w:rPr>
              <w:t>1) That</w:t>
            </w:r>
            <w:r w:rsidR="004B3F60">
              <w:rPr>
                <w:rFonts w:ascii="Arial" w:hAnsi="Arial" w:cs="Arial"/>
                <w:sz w:val="24"/>
                <w:szCs w:val="24"/>
              </w:rPr>
              <w:t xml:space="preserve"> subject to the amendment </w:t>
            </w:r>
            <w:r w:rsidR="00F42C46">
              <w:rPr>
                <w:rFonts w:ascii="Arial" w:hAnsi="Arial" w:cs="Arial"/>
                <w:sz w:val="24"/>
                <w:szCs w:val="24"/>
              </w:rPr>
              <w:t>above</w:t>
            </w:r>
            <w:r>
              <w:rPr>
                <w:rFonts w:ascii="Arial" w:hAnsi="Arial" w:cs="Arial"/>
                <w:sz w:val="24"/>
                <w:szCs w:val="24"/>
              </w:rPr>
              <w:t xml:space="preserve"> the report be noted and submitted to the Annual General Meeting in June.</w:t>
            </w:r>
          </w:p>
          <w:p w:rsidR="002F6C06" w:rsidRPr="002F6C06" w:rsidRDefault="002F6C06" w:rsidP="009D3046">
            <w:pPr>
              <w:jc w:val="both"/>
              <w:rPr>
                <w:rFonts w:ascii="Arial" w:hAnsi="Arial" w:cs="Arial"/>
                <w:sz w:val="24"/>
                <w:szCs w:val="24"/>
              </w:rPr>
            </w:pP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Default="002F6C06" w:rsidP="009D3046">
            <w:pPr>
              <w:jc w:val="both"/>
              <w:rPr>
                <w:rFonts w:ascii="Arial" w:hAnsi="Arial" w:cs="Arial"/>
                <w:b/>
                <w:sz w:val="24"/>
                <w:szCs w:val="24"/>
              </w:rPr>
            </w:pPr>
          </w:p>
        </w:tc>
      </w:tr>
      <w:tr w:rsidR="002F6C06" w:rsidTr="00DE2DAA">
        <w:tc>
          <w:tcPr>
            <w:tcW w:w="656" w:type="dxa"/>
          </w:tcPr>
          <w:p w:rsidR="002F6C06" w:rsidRDefault="00DF3A21" w:rsidP="009D3046">
            <w:pPr>
              <w:jc w:val="both"/>
              <w:rPr>
                <w:rFonts w:ascii="Arial" w:hAnsi="Arial" w:cs="Arial"/>
                <w:b/>
                <w:sz w:val="24"/>
                <w:szCs w:val="24"/>
              </w:rPr>
            </w:pPr>
            <w:r>
              <w:rPr>
                <w:rFonts w:ascii="Arial" w:hAnsi="Arial" w:cs="Arial"/>
                <w:b/>
                <w:sz w:val="24"/>
                <w:szCs w:val="24"/>
              </w:rPr>
              <w:t>91</w:t>
            </w:r>
            <w:r w:rsidR="002F6C06">
              <w:rPr>
                <w:rFonts w:ascii="Arial" w:hAnsi="Arial" w:cs="Arial"/>
                <w:b/>
                <w:sz w:val="24"/>
                <w:szCs w:val="24"/>
              </w:rPr>
              <w:t>:</w:t>
            </w:r>
          </w:p>
        </w:tc>
        <w:tc>
          <w:tcPr>
            <w:tcW w:w="8586" w:type="dxa"/>
          </w:tcPr>
          <w:p w:rsidR="002F6C06" w:rsidRDefault="00DF3A21" w:rsidP="009D3046">
            <w:pPr>
              <w:jc w:val="both"/>
              <w:rPr>
                <w:rFonts w:ascii="Arial" w:hAnsi="Arial" w:cs="Arial"/>
                <w:b/>
                <w:sz w:val="24"/>
                <w:szCs w:val="24"/>
              </w:rPr>
            </w:pPr>
            <w:r>
              <w:rPr>
                <w:rFonts w:ascii="Arial" w:hAnsi="Arial" w:cs="Arial"/>
                <w:b/>
                <w:sz w:val="24"/>
                <w:szCs w:val="24"/>
              </w:rPr>
              <w:t>LEAD AUTHORITY ISSUES</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Pr="00DF3A21" w:rsidRDefault="00583965" w:rsidP="009D3046">
            <w:pPr>
              <w:jc w:val="both"/>
              <w:rPr>
                <w:rFonts w:ascii="Arial" w:hAnsi="Arial" w:cs="Arial"/>
                <w:sz w:val="24"/>
                <w:szCs w:val="24"/>
              </w:rPr>
            </w:pPr>
            <w:r>
              <w:rPr>
                <w:rFonts w:ascii="Arial" w:hAnsi="Arial" w:cs="Arial"/>
                <w:sz w:val="24"/>
                <w:szCs w:val="24"/>
              </w:rPr>
              <w:t>Councillor Stokes asked if YPO had received nomination</w:t>
            </w:r>
            <w:r w:rsidR="009A20E2">
              <w:rPr>
                <w:rFonts w:ascii="Arial" w:hAnsi="Arial" w:cs="Arial"/>
                <w:sz w:val="24"/>
                <w:szCs w:val="24"/>
              </w:rPr>
              <w:t>s</w:t>
            </w:r>
            <w:r>
              <w:rPr>
                <w:rFonts w:ascii="Arial" w:hAnsi="Arial" w:cs="Arial"/>
                <w:sz w:val="24"/>
                <w:szCs w:val="24"/>
              </w:rPr>
              <w:t xml:space="preserve"> from the Member </w:t>
            </w:r>
            <w:r>
              <w:rPr>
                <w:rFonts w:ascii="Arial" w:hAnsi="Arial" w:cs="Arial"/>
                <w:sz w:val="24"/>
                <w:szCs w:val="24"/>
              </w:rPr>
              <w:lastRenderedPageBreak/>
              <w:t>Authorities to the Management Committee for 2015/16.  JW responded we had received 7 nominations so far and the remaining Members are being chased up.</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Default="002F6C06" w:rsidP="009D3046">
            <w:pPr>
              <w:jc w:val="both"/>
              <w:rPr>
                <w:rFonts w:ascii="Arial" w:hAnsi="Arial" w:cs="Arial"/>
                <w:b/>
                <w:sz w:val="24"/>
                <w:szCs w:val="24"/>
              </w:rPr>
            </w:pPr>
          </w:p>
        </w:tc>
      </w:tr>
      <w:tr w:rsidR="002F6C06" w:rsidTr="00DE2DAA">
        <w:tc>
          <w:tcPr>
            <w:tcW w:w="656" w:type="dxa"/>
          </w:tcPr>
          <w:p w:rsidR="002F6C06" w:rsidRDefault="00DF3A21" w:rsidP="009D3046">
            <w:pPr>
              <w:jc w:val="both"/>
              <w:rPr>
                <w:rFonts w:ascii="Arial" w:hAnsi="Arial" w:cs="Arial"/>
                <w:b/>
                <w:sz w:val="24"/>
                <w:szCs w:val="24"/>
              </w:rPr>
            </w:pPr>
            <w:r>
              <w:rPr>
                <w:rFonts w:ascii="Arial" w:hAnsi="Arial" w:cs="Arial"/>
                <w:b/>
                <w:sz w:val="24"/>
                <w:szCs w:val="24"/>
              </w:rPr>
              <w:t>92</w:t>
            </w:r>
            <w:r w:rsidR="002F6C06">
              <w:rPr>
                <w:rFonts w:ascii="Arial" w:hAnsi="Arial" w:cs="Arial"/>
                <w:b/>
                <w:sz w:val="24"/>
                <w:szCs w:val="24"/>
              </w:rPr>
              <w:t>:</w:t>
            </w:r>
          </w:p>
        </w:tc>
        <w:tc>
          <w:tcPr>
            <w:tcW w:w="8586" w:type="dxa"/>
          </w:tcPr>
          <w:p w:rsidR="002F6C06" w:rsidRDefault="00DF3A21" w:rsidP="00DF3A21">
            <w:pPr>
              <w:jc w:val="both"/>
              <w:rPr>
                <w:rFonts w:ascii="Arial" w:hAnsi="Arial" w:cs="Arial"/>
                <w:b/>
                <w:sz w:val="24"/>
                <w:szCs w:val="24"/>
              </w:rPr>
            </w:pPr>
            <w:r>
              <w:rPr>
                <w:rFonts w:ascii="Arial" w:hAnsi="Arial" w:cs="Arial"/>
                <w:b/>
                <w:sz w:val="24"/>
                <w:szCs w:val="24"/>
              </w:rPr>
              <w:t>RESERVES EXPENDITURE 2015</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Default="00DF3A21" w:rsidP="009D3046">
            <w:pPr>
              <w:jc w:val="both"/>
              <w:rPr>
                <w:rFonts w:ascii="Arial" w:hAnsi="Arial" w:cs="Arial"/>
                <w:sz w:val="24"/>
                <w:szCs w:val="24"/>
              </w:rPr>
            </w:pPr>
            <w:r>
              <w:rPr>
                <w:rFonts w:ascii="Arial" w:hAnsi="Arial" w:cs="Arial"/>
                <w:sz w:val="24"/>
                <w:szCs w:val="24"/>
              </w:rPr>
              <w:t>Consideration was given to a report submitted by the Financial Controller &amp; Finance Business Partner, presenting a summary of reserves spend in 2015 as at 30</w:t>
            </w:r>
            <w:r w:rsidRPr="00DF3A21">
              <w:rPr>
                <w:rFonts w:ascii="Arial" w:hAnsi="Arial" w:cs="Arial"/>
                <w:sz w:val="24"/>
                <w:szCs w:val="24"/>
                <w:vertAlign w:val="superscript"/>
              </w:rPr>
              <w:t>th</w:t>
            </w:r>
            <w:r>
              <w:rPr>
                <w:rFonts w:ascii="Arial" w:hAnsi="Arial" w:cs="Arial"/>
                <w:sz w:val="24"/>
                <w:szCs w:val="24"/>
              </w:rPr>
              <w:t xml:space="preserve"> April 2015.</w:t>
            </w:r>
          </w:p>
          <w:p w:rsidR="00640216" w:rsidRDefault="00640216" w:rsidP="009D3046">
            <w:pPr>
              <w:jc w:val="both"/>
              <w:rPr>
                <w:rFonts w:ascii="Arial" w:hAnsi="Arial" w:cs="Arial"/>
                <w:sz w:val="24"/>
                <w:szCs w:val="24"/>
              </w:rPr>
            </w:pPr>
          </w:p>
          <w:p w:rsidR="00583965" w:rsidRDefault="00583965" w:rsidP="009D3046">
            <w:pPr>
              <w:jc w:val="both"/>
              <w:rPr>
                <w:rFonts w:ascii="Arial" w:hAnsi="Arial" w:cs="Arial"/>
                <w:sz w:val="24"/>
                <w:szCs w:val="24"/>
              </w:rPr>
            </w:pPr>
            <w:r>
              <w:rPr>
                <w:rFonts w:ascii="Arial" w:hAnsi="Arial" w:cs="Arial"/>
                <w:sz w:val="24"/>
                <w:szCs w:val="24"/>
              </w:rPr>
              <w:t>Members asked question</w:t>
            </w:r>
            <w:r w:rsidR="009A20E2">
              <w:rPr>
                <w:rFonts w:ascii="Arial" w:hAnsi="Arial" w:cs="Arial"/>
                <w:sz w:val="24"/>
                <w:szCs w:val="24"/>
              </w:rPr>
              <w:t>s</w:t>
            </w:r>
            <w:r>
              <w:rPr>
                <w:rFonts w:ascii="Arial" w:hAnsi="Arial" w:cs="Arial"/>
                <w:sz w:val="24"/>
                <w:szCs w:val="24"/>
              </w:rPr>
              <w:t xml:space="preserve"> on the content and were satisfied by the Officers’ responses.</w:t>
            </w:r>
          </w:p>
          <w:p w:rsidR="00583965" w:rsidRDefault="00583965" w:rsidP="009D3046">
            <w:pPr>
              <w:jc w:val="both"/>
              <w:rPr>
                <w:rFonts w:ascii="Arial" w:hAnsi="Arial" w:cs="Arial"/>
                <w:sz w:val="24"/>
                <w:szCs w:val="24"/>
              </w:rPr>
            </w:pPr>
          </w:p>
          <w:p w:rsidR="00583965" w:rsidRDefault="00583965" w:rsidP="009D3046">
            <w:pPr>
              <w:jc w:val="both"/>
              <w:rPr>
                <w:rFonts w:ascii="Arial" w:hAnsi="Arial" w:cs="Arial"/>
                <w:sz w:val="24"/>
                <w:szCs w:val="24"/>
              </w:rPr>
            </w:pPr>
            <w:r>
              <w:rPr>
                <w:rFonts w:ascii="Arial" w:hAnsi="Arial" w:cs="Arial"/>
                <w:sz w:val="24"/>
                <w:szCs w:val="24"/>
              </w:rPr>
              <w:t xml:space="preserve">Councillor Sykes requested that a timetable of the planned spend be submitted so that the Members can see when </w:t>
            </w:r>
            <w:proofErr w:type="gramStart"/>
            <w:r>
              <w:rPr>
                <w:rFonts w:ascii="Arial" w:hAnsi="Arial" w:cs="Arial"/>
                <w:sz w:val="24"/>
                <w:szCs w:val="24"/>
              </w:rPr>
              <w:t>the spend</w:t>
            </w:r>
            <w:proofErr w:type="gramEnd"/>
            <w:r>
              <w:rPr>
                <w:rFonts w:ascii="Arial" w:hAnsi="Arial" w:cs="Arial"/>
                <w:sz w:val="24"/>
                <w:szCs w:val="24"/>
              </w:rPr>
              <w:t xml:space="preserve"> should be expected throughout the year and what projects it would be funding.  This was agreed.</w:t>
            </w:r>
          </w:p>
          <w:p w:rsidR="00640216" w:rsidRDefault="00640216" w:rsidP="009D3046">
            <w:pPr>
              <w:jc w:val="both"/>
              <w:rPr>
                <w:rFonts w:ascii="Arial" w:hAnsi="Arial" w:cs="Arial"/>
                <w:sz w:val="24"/>
                <w:szCs w:val="24"/>
              </w:rPr>
            </w:pPr>
          </w:p>
          <w:p w:rsidR="00640216" w:rsidRDefault="00640216" w:rsidP="009D3046">
            <w:pPr>
              <w:jc w:val="both"/>
              <w:rPr>
                <w:rFonts w:ascii="Arial" w:hAnsi="Arial" w:cs="Arial"/>
                <w:sz w:val="24"/>
                <w:szCs w:val="24"/>
              </w:rPr>
            </w:pPr>
          </w:p>
          <w:p w:rsidR="00640216" w:rsidRPr="00640216" w:rsidRDefault="00640216" w:rsidP="005E0210">
            <w:pPr>
              <w:jc w:val="both"/>
              <w:rPr>
                <w:rFonts w:ascii="Arial" w:hAnsi="Arial" w:cs="Arial"/>
                <w:sz w:val="24"/>
                <w:szCs w:val="24"/>
              </w:rPr>
            </w:pPr>
            <w:r>
              <w:rPr>
                <w:rFonts w:ascii="Arial" w:hAnsi="Arial" w:cs="Arial"/>
                <w:b/>
                <w:sz w:val="24"/>
                <w:szCs w:val="24"/>
              </w:rPr>
              <w:t xml:space="preserve">Resolved </w:t>
            </w:r>
            <w:r w:rsidR="00BD1FB1">
              <w:rPr>
                <w:rFonts w:ascii="Arial" w:hAnsi="Arial" w:cs="Arial"/>
                <w:b/>
                <w:sz w:val="24"/>
                <w:szCs w:val="24"/>
              </w:rPr>
              <w:t xml:space="preserve">- </w:t>
            </w:r>
            <w:r w:rsidR="005E0210">
              <w:rPr>
                <w:rFonts w:ascii="Arial" w:hAnsi="Arial" w:cs="Arial"/>
                <w:sz w:val="24"/>
                <w:szCs w:val="24"/>
              </w:rPr>
              <w:t xml:space="preserve">That the Reserves Expenditure 2015 report </w:t>
            </w:r>
            <w:proofErr w:type="gramStart"/>
            <w:r w:rsidR="005E0210">
              <w:rPr>
                <w:rFonts w:ascii="Arial" w:hAnsi="Arial" w:cs="Arial"/>
                <w:sz w:val="24"/>
                <w:szCs w:val="24"/>
              </w:rPr>
              <w:t>be</w:t>
            </w:r>
            <w:proofErr w:type="gramEnd"/>
            <w:r w:rsidR="005E0210">
              <w:rPr>
                <w:rFonts w:ascii="Arial" w:hAnsi="Arial" w:cs="Arial"/>
                <w:sz w:val="24"/>
                <w:szCs w:val="24"/>
              </w:rPr>
              <w:t xml:space="preserve"> accepted and a timetable of planned expenditure be brought back to the next Exec Sub-Committee meeting.</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Default="002F6C06" w:rsidP="009D3046">
            <w:pPr>
              <w:jc w:val="both"/>
              <w:rPr>
                <w:rFonts w:ascii="Arial" w:hAnsi="Arial" w:cs="Arial"/>
                <w:b/>
                <w:sz w:val="24"/>
                <w:szCs w:val="24"/>
              </w:rPr>
            </w:pPr>
          </w:p>
        </w:tc>
      </w:tr>
      <w:tr w:rsidR="002F6C06" w:rsidTr="00DE2DAA">
        <w:tc>
          <w:tcPr>
            <w:tcW w:w="656" w:type="dxa"/>
          </w:tcPr>
          <w:p w:rsidR="002F6C06" w:rsidRDefault="00640216" w:rsidP="009D3046">
            <w:pPr>
              <w:jc w:val="both"/>
              <w:rPr>
                <w:rFonts w:ascii="Arial" w:hAnsi="Arial" w:cs="Arial"/>
                <w:b/>
                <w:sz w:val="24"/>
                <w:szCs w:val="24"/>
              </w:rPr>
            </w:pPr>
            <w:r>
              <w:rPr>
                <w:rFonts w:ascii="Arial" w:hAnsi="Arial" w:cs="Arial"/>
                <w:b/>
                <w:sz w:val="24"/>
                <w:szCs w:val="24"/>
              </w:rPr>
              <w:t>93</w:t>
            </w:r>
            <w:r w:rsidR="002F6C06">
              <w:rPr>
                <w:rFonts w:ascii="Arial" w:hAnsi="Arial" w:cs="Arial"/>
                <w:b/>
                <w:sz w:val="24"/>
                <w:szCs w:val="24"/>
              </w:rPr>
              <w:t>:</w:t>
            </w:r>
          </w:p>
        </w:tc>
        <w:tc>
          <w:tcPr>
            <w:tcW w:w="8586" w:type="dxa"/>
          </w:tcPr>
          <w:p w:rsidR="002F6C06" w:rsidRPr="00640216" w:rsidRDefault="00640216" w:rsidP="009D3046">
            <w:pPr>
              <w:jc w:val="both"/>
              <w:rPr>
                <w:rFonts w:ascii="Arial" w:hAnsi="Arial" w:cs="Arial"/>
                <w:sz w:val="24"/>
                <w:szCs w:val="24"/>
              </w:rPr>
            </w:pPr>
            <w:r>
              <w:rPr>
                <w:rFonts w:ascii="Arial" w:hAnsi="Arial" w:cs="Arial"/>
                <w:b/>
                <w:sz w:val="24"/>
                <w:szCs w:val="24"/>
              </w:rPr>
              <w:t>EXCLUSION OF THE PUBLIC AND PRESS</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Default="00640216" w:rsidP="009D3046">
            <w:pPr>
              <w:jc w:val="both"/>
              <w:rPr>
                <w:rFonts w:ascii="Arial" w:hAnsi="Arial" w:cs="Arial"/>
                <w:b/>
                <w:sz w:val="24"/>
                <w:szCs w:val="24"/>
              </w:rPr>
            </w:pPr>
            <w:r>
              <w:rPr>
                <w:rFonts w:ascii="Arial" w:hAnsi="Arial" w:cs="Arial"/>
                <w:b/>
                <w:sz w:val="24"/>
                <w:szCs w:val="24"/>
              </w:rPr>
              <w:t xml:space="preserve">Resolved – </w:t>
            </w:r>
            <w:r>
              <w:rPr>
                <w:rFonts w:ascii="Arial" w:hAnsi="Arial" w:cs="Arial"/>
                <w:sz w:val="24"/>
                <w:szCs w:val="24"/>
              </w:rPr>
              <w:t>That the public and press be excluded from the meeting during consideration of Agenda Items 10 and 11 on the grounds that they are likely to involve the disclosure of exempt information as described in Part 1 of Schedule 12A to the Local Government Act 1972 as amended.</w:t>
            </w:r>
            <w:r w:rsidR="002F6C06">
              <w:rPr>
                <w:rFonts w:ascii="Arial" w:hAnsi="Arial" w:cs="Arial"/>
                <w:b/>
                <w:sz w:val="24"/>
                <w:szCs w:val="24"/>
              </w:rPr>
              <w:t xml:space="preserve"> </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Default="002F6C06" w:rsidP="009D3046">
            <w:pPr>
              <w:jc w:val="both"/>
              <w:rPr>
                <w:rFonts w:ascii="Arial" w:hAnsi="Arial" w:cs="Arial"/>
                <w:b/>
                <w:sz w:val="24"/>
                <w:szCs w:val="24"/>
              </w:rPr>
            </w:pPr>
          </w:p>
        </w:tc>
      </w:tr>
      <w:tr w:rsidR="002F6C06" w:rsidTr="00DE2DAA">
        <w:tc>
          <w:tcPr>
            <w:tcW w:w="656" w:type="dxa"/>
          </w:tcPr>
          <w:p w:rsidR="002F6C06" w:rsidRDefault="00BD1FB1" w:rsidP="009D3046">
            <w:pPr>
              <w:jc w:val="both"/>
              <w:rPr>
                <w:rFonts w:ascii="Arial" w:hAnsi="Arial" w:cs="Arial"/>
                <w:b/>
                <w:sz w:val="24"/>
                <w:szCs w:val="24"/>
              </w:rPr>
            </w:pPr>
            <w:r>
              <w:rPr>
                <w:rFonts w:ascii="Arial" w:hAnsi="Arial" w:cs="Arial"/>
                <w:b/>
                <w:sz w:val="24"/>
                <w:szCs w:val="24"/>
              </w:rPr>
              <w:t>94</w:t>
            </w:r>
            <w:r w:rsidR="002F6C06">
              <w:rPr>
                <w:rFonts w:ascii="Arial" w:hAnsi="Arial" w:cs="Arial"/>
                <w:b/>
                <w:sz w:val="24"/>
                <w:szCs w:val="24"/>
              </w:rPr>
              <w:t>:</w:t>
            </w:r>
          </w:p>
        </w:tc>
        <w:tc>
          <w:tcPr>
            <w:tcW w:w="8586" w:type="dxa"/>
          </w:tcPr>
          <w:p w:rsidR="002F6C06" w:rsidRDefault="00640216" w:rsidP="009D3046">
            <w:pPr>
              <w:jc w:val="both"/>
              <w:rPr>
                <w:rFonts w:ascii="Arial" w:hAnsi="Arial" w:cs="Arial"/>
                <w:b/>
                <w:sz w:val="24"/>
                <w:szCs w:val="24"/>
              </w:rPr>
            </w:pPr>
            <w:r>
              <w:rPr>
                <w:rFonts w:ascii="Arial" w:hAnsi="Arial" w:cs="Arial"/>
                <w:b/>
                <w:sz w:val="24"/>
                <w:szCs w:val="24"/>
              </w:rPr>
              <w:t>PERFORMANCE REPORT (EXEMPT)</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Default="00BD1FB1" w:rsidP="00BD1FB1">
            <w:pPr>
              <w:jc w:val="both"/>
              <w:rPr>
                <w:rFonts w:ascii="Arial" w:hAnsi="Arial" w:cs="Arial"/>
                <w:sz w:val="24"/>
                <w:szCs w:val="24"/>
              </w:rPr>
            </w:pPr>
            <w:r>
              <w:rPr>
                <w:rFonts w:ascii="Arial" w:hAnsi="Arial" w:cs="Arial"/>
                <w:sz w:val="24"/>
                <w:szCs w:val="24"/>
              </w:rPr>
              <w:t>A</w:t>
            </w:r>
            <w:r w:rsidRPr="00BD1FB1">
              <w:rPr>
                <w:rFonts w:ascii="Arial" w:hAnsi="Arial" w:cs="Arial"/>
                <w:sz w:val="24"/>
                <w:szCs w:val="24"/>
              </w:rPr>
              <w:t xml:space="preserve"> </w:t>
            </w:r>
            <w:r>
              <w:rPr>
                <w:rFonts w:ascii="Arial" w:hAnsi="Arial" w:cs="Arial"/>
                <w:sz w:val="24"/>
                <w:szCs w:val="24"/>
              </w:rPr>
              <w:t xml:space="preserve">report of the </w:t>
            </w:r>
            <w:r w:rsidRPr="00BD1FB1">
              <w:rPr>
                <w:rFonts w:ascii="Arial" w:hAnsi="Arial" w:cs="Arial"/>
                <w:sz w:val="24"/>
                <w:szCs w:val="24"/>
              </w:rPr>
              <w:t>Managing Director detailed the latest performance results for the Organisation.</w:t>
            </w:r>
          </w:p>
          <w:p w:rsidR="00BD1FB1" w:rsidRDefault="00BD1FB1" w:rsidP="00BD1FB1">
            <w:pPr>
              <w:jc w:val="both"/>
              <w:rPr>
                <w:rFonts w:ascii="Arial" w:hAnsi="Arial" w:cs="Arial"/>
                <w:sz w:val="24"/>
                <w:szCs w:val="24"/>
              </w:rPr>
            </w:pPr>
          </w:p>
          <w:p w:rsidR="00BD1FB1" w:rsidRDefault="003261D0" w:rsidP="00BD1FB1">
            <w:pPr>
              <w:jc w:val="both"/>
              <w:rPr>
                <w:rFonts w:ascii="Arial" w:hAnsi="Arial" w:cs="Arial"/>
                <w:sz w:val="24"/>
                <w:szCs w:val="24"/>
              </w:rPr>
            </w:pPr>
            <w:r>
              <w:rPr>
                <w:rFonts w:ascii="Arial" w:hAnsi="Arial" w:cs="Arial"/>
                <w:sz w:val="24"/>
                <w:szCs w:val="24"/>
              </w:rPr>
              <w:t>Councillors asked for more detail and clarification around a number of points and were satisfied with the responses provided by Officers.</w:t>
            </w:r>
          </w:p>
          <w:p w:rsidR="00BD1FB1" w:rsidRDefault="00BD1FB1" w:rsidP="00BD1FB1">
            <w:pPr>
              <w:jc w:val="both"/>
              <w:rPr>
                <w:rFonts w:ascii="Arial" w:hAnsi="Arial" w:cs="Arial"/>
                <w:sz w:val="24"/>
                <w:szCs w:val="24"/>
              </w:rPr>
            </w:pPr>
          </w:p>
          <w:p w:rsidR="003261D0" w:rsidRPr="003261D0" w:rsidRDefault="00BD1FB1" w:rsidP="003261D0">
            <w:pPr>
              <w:jc w:val="both"/>
              <w:rPr>
                <w:rFonts w:ascii="Arial" w:hAnsi="Arial" w:cs="Arial"/>
                <w:sz w:val="24"/>
                <w:szCs w:val="24"/>
              </w:rPr>
            </w:pPr>
            <w:r>
              <w:rPr>
                <w:rFonts w:ascii="Arial" w:hAnsi="Arial" w:cs="Arial"/>
                <w:b/>
                <w:sz w:val="24"/>
                <w:szCs w:val="24"/>
              </w:rPr>
              <w:t xml:space="preserve">Resolved – </w:t>
            </w:r>
            <w:r w:rsidR="003261D0">
              <w:rPr>
                <w:rFonts w:ascii="Arial" w:hAnsi="Arial" w:cs="Arial"/>
                <w:sz w:val="24"/>
                <w:szCs w:val="24"/>
              </w:rPr>
              <w:t>That the Performance Report be acknowledged and welcomed.</w:t>
            </w:r>
          </w:p>
        </w:tc>
      </w:tr>
      <w:tr w:rsidR="00640216" w:rsidTr="00DE2DAA">
        <w:tc>
          <w:tcPr>
            <w:tcW w:w="656" w:type="dxa"/>
          </w:tcPr>
          <w:p w:rsidR="00640216" w:rsidRDefault="00640216" w:rsidP="009D3046">
            <w:pPr>
              <w:jc w:val="both"/>
              <w:rPr>
                <w:rFonts w:ascii="Arial" w:hAnsi="Arial" w:cs="Arial"/>
                <w:b/>
                <w:sz w:val="24"/>
                <w:szCs w:val="24"/>
              </w:rPr>
            </w:pPr>
          </w:p>
        </w:tc>
        <w:tc>
          <w:tcPr>
            <w:tcW w:w="8586" w:type="dxa"/>
          </w:tcPr>
          <w:p w:rsidR="00640216" w:rsidRDefault="00640216" w:rsidP="009D3046">
            <w:pPr>
              <w:jc w:val="both"/>
              <w:rPr>
                <w:rFonts w:ascii="Arial" w:hAnsi="Arial" w:cs="Arial"/>
                <w:b/>
                <w:sz w:val="24"/>
                <w:szCs w:val="24"/>
              </w:rPr>
            </w:pPr>
          </w:p>
        </w:tc>
      </w:tr>
      <w:tr w:rsidR="00640216" w:rsidTr="00DE2DAA">
        <w:tc>
          <w:tcPr>
            <w:tcW w:w="656" w:type="dxa"/>
          </w:tcPr>
          <w:p w:rsidR="00640216" w:rsidRDefault="00BD1FB1" w:rsidP="009D3046">
            <w:pPr>
              <w:jc w:val="both"/>
              <w:rPr>
                <w:rFonts w:ascii="Arial" w:hAnsi="Arial" w:cs="Arial"/>
                <w:b/>
                <w:sz w:val="24"/>
                <w:szCs w:val="24"/>
              </w:rPr>
            </w:pPr>
            <w:r>
              <w:rPr>
                <w:rFonts w:ascii="Arial" w:hAnsi="Arial" w:cs="Arial"/>
                <w:b/>
                <w:sz w:val="24"/>
                <w:szCs w:val="24"/>
              </w:rPr>
              <w:t>95:</w:t>
            </w:r>
          </w:p>
        </w:tc>
        <w:tc>
          <w:tcPr>
            <w:tcW w:w="8586" w:type="dxa"/>
          </w:tcPr>
          <w:p w:rsidR="00640216" w:rsidRDefault="00BD1FB1" w:rsidP="009D3046">
            <w:pPr>
              <w:jc w:val="both"/>
              <w:rPr>
                <w:rFonts w:ascii="Arial" w:hAnsi="Arial" w:cs="Arial"/>
                <w:b/>
                <w:sz w:val="24"/>
                <w:szCs w:val="24"/>
              </w:rPr>
            </w:pPr>
            <w:r>
              <w:rPr>
                <w:rFonts w:ascii="Arial" w:hAnsi="Arial" w:cs="Arial"/>
                <w:b/>
                <w:sz w:val="24"/>
                <w:szCs w:val="24"/>
              </w:rPr>
              <w:t>MD’S REPORT/BUSINESS UPDATE</w:t>
            </w:r>
          </w:p>
        </w:tc>
      </w:tr>
      <w:tr w:rsidR="00640216" w:rsidTr="00DE2DAA">
        <w:tc>
          <w:tcPr>
            <w:tcW w:w="656" w:type="dxa"/>
          </w:tcPr>
          <w:p w:rsidR="00640216" w:rsidRDefault="00640216" w:rsidP="009D3046">
            <w:pPr>
              <w:jc w:val="both"/>
              <w:rPr>
                <w:rFonts w:ascii="Arial" w:hAnsi="Arial" w:cs="Arial"/>
                <w:b/>
                <w:sz w:val="24"/>
                <w:szCs w:val="24"/>
              </w:rPr>
            </w:pPr>
          </w:p>
        </w:tc>
        <w:tc>
          <w:tcPr>
            <w:tcW w:w="8586" w:type="dxa"/>
          </w:tcPr>
          <w:p w:rsidR="00640216" w:rsidRDefault="00BD1FB1" w:rsidP="009D3046">
            <w:pPr>
              <w:jc w:val="both"/>
              <w:rPr>
                <w:rFonts w:ascii="Arial" w:hAnsi="Arial" w:cs="Arial"/>
                <w:sz w:val="24"/>
                <w:szCs w:val="24"/>
              </w:rPr>
            </w:pPr>
            <w:r>
              <w:rPr>
                <w:rFonts w:ascii="Arial" w:hAnsi="Arial" w:cs="Arial"/>
                <w:sz w:val="24"/>
                <w:szCs w:val="24"/>
              </w:rPr>
              <w:t>A report of the Managing Director provided an update of the activities of the organisation since the last meeting of the Sub-Committee and gave an overview on forthcoming activities and challenges.  The report included an update on the organisations operational, financial, procurement, commercial, workforce issues and IT &amp; Business Change.</w:t>
            </w:r>
          </w:p>
          <w:p w:rsidR="00BD1FB1" w:rsidRDefault="00BD1FB1" w:rsidP="009D3046">
            <w:pPr>
              <w:jc w:val="both"/>
              <w:rPr>
                <w:rFonts w:ascii="Arial" w:hAnsi="Arial" w:cs="Arial"/>
                <w:sz w:val="24"/>
                <w:szCs w:val="24"/>
              </w:rPr>
            </w:pPr>
          </w:p>
          <w:p w:rsidR="003261D0" w:rsidRDefault="003261D0" w:rsidP="009D3046">
            <w:pPr>
              <w:jc w:val="both"/>
              <w:rPr>
                <w:rFonts w:ascii="Arial" w:hAnsi="Arial" w:cs="Arial"/>
                <w:sz w:val="24"/>
                <w:szCs w:val="24"/>
              </w:rPr>
            </w:pPr>
            <w:r>
              <w:rPr>
                <w:rFonts w:ascii="Arial" w:hAnsi="Arial" w:cs="Arial"/>
                <w:sz w:val="24"/>
                <w:szCs w:val="24"/>
              </w:rPr>
              <w:t>Discussion were held around the content of the report on points raised by the Councillors.</w:t>
            </w:r>
            <w:bookmarkStart w:id="0" w:name="_GoBack"/>
            <w:bookmarkEnd w:id="0"/>
          </w:p>
          <w:p w:rsidR="00BD1FB1" w:rsidRDefault="00BD1FB1" w:rsidP="009D3046">
            <w:pPr>
              <w:jc w:val="both"/>
              <w:rPr>
                <w:rFonts w:ascii="Arial" w:hAnsi="Arial" w:cs="Arial"/>
                <w:sz w:val="24"/>
                <w:szCs w:val="24"/>
              </w:rPr>
            </w:pPr>
          </w:p>
          <w:p w:rsidR="00BD1FB1" w:rsidRPr="00BD1FB1" w:rsidRDefault="00BD1FB1" w:rsidP="009D3046">
            <w:pPr>
              <w:jc w:val="both"/>
              <w:rPr>
                <w:rFonts w:ascii="Arial" w:hAnsi="Arial" w:cs="Arial"/>
                <w:sz w:val="24"/>
                <w:szCs w:val="24"/>
              </w:rPr>
            </w:pPr>
            <w:r>
              <w:rPr>
                <w:rFonts w:ascii="Arial" w:hAnsi="Arial" w:cs="Arial"/>
                <w:b/>
                <w:sz w:val="24"/>
                <w:szCs w:val="24"/>
              </w:rPr>
              <w:t xml:space="preserve">Resolved – </w:t>
            </w:r>
            <w:r>
              <w:rPr>
                <w:rFonts w:ascii="Arial" w:hAnsi="Arial" w:cs="Arial"/>
                <w:sz w:val="24"/>
                <w:szCs w:val="24"/>
              </w:rPr>
              <w:t>That the MD’s Report/Business Update for Feb</w:t>
            </w:r>
            <w:r w:rsidR="003261D0">
              <w:rPr>
                <w:rFonts w:ascii="Arial" w:hAnsi="Arial" w:cs="Arial"/>
                <w:sz w:val="24"/>
                <w:szCs w:val="24"/>
              </w:rPr>
              <w:t>ruary 2015 – June 2015 be acknowledged and welcomed.</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Default="002F6C06" w:rsidP="009D3046">
            <w:pPr>
              <w:jc w:val="both"/>
              <w:rPr>
                <w:rFonts w:ascii="Arial" w:hAnsi="Arial" w:cs="Arial"/>
                <w:b/>
                <w:sz w:val="24"/>
                <w:szCs w:val="24"/>
              </w:rPr>
            </w:pPr>
          </w:p>
        </w:tc>
      </w:tr>
      <w:tr w:rsidR="002F6C06" w:rsidTr="00DE2DAA">
        <w:tc>
          <w:tcPr>
            <w:tcW w:w="656" w:type="dxa"/>
          </w:tcPr>
          <w:p w:rsidR="002F6C06" w:rsidRDefault="00BD1FB1" w:rsidP="009D3046">
            <w:pPr>
              <w:jc w:val="both"/>
              <w:rPr>
                <w:rFonts w:ascii="Arial" w:hAnsi="Arial" w:cs="Arial"/>
                <w:b/>
                <w:sz w:val="24"/>
                <w:szCs w:val="24"/>
              </w:rPr>
            </w:pPr>
            <w:r>
              <w:rPr>
                <w:rFonts w:ascii="Arial" w:hAnsi="Arial" w:cs="Arial"/>
                <w:b/>
                <w:sz w:val="24"/>
                <w:szCs w:val="24"/>
              </w:rPr>
              <w:lastRenderedPageBreak/>
              <w:t>96:</w:t>
            </w:r>
          </w:p>
        </w:tc>
        <w:tc>
          <w:tcPr>
            <w:tcW w:w="8586" w:type="dxa"/>
          </w:tcPr>
          <w:p w:rsidR="002F6C06" w:rsidRDefault="002F6C06" w:rsidP="009D3046">
            <w:pPr>
              <w:jc w:val="both"/>
              <w:rPr>
                <w:rFonts w:ascii="Arial" w:hAnsi="Arial" w:cs="Arial"/>
                <w:b/>
                <w:sz w:val="24"/>
                <w:szCs w:val="24"/>
              </w:rPr>
            </w:pPr>
            <w:r>
              <w:rPr>
                <w:rFonts w:ascii="Arial" w:hAnsi="Arial" w:cs="Arial"/>
                <w:b/>
                <w:sz w:val="24"/>
                <w:szCs w:val="24"/>
              </w:rPr>
              <w:t>DATE AND TIME OF NEXT MEETING</w:t>
            </w:r>
          </w:p>
          <w:p w:rsidR="002F6C06" w:rsidRDefault="002F6C06" w:rsidP="00BD1FB1">
            <w:pPr>
              <w:jc w:val="both"/>
              <w:rPr>
                <w:rFonts w:ascii="Arial" w:hAnsi="Arial" w:cs="Arial"/>
                <w:b/>
                <w:sz w:val="24"/>
                <w:szCs w:val="24"/>
              </w:rPr>
            </w:pPr>
            <w:r>
              <w:rPr>
                <w:rFonts w:ascii="Arial" w:hAnsi="Arial" w:cs="Arial"/>
                <w:b/>
                <w:sz w:val="24"/>
                <w:szCs w:val="24"/>
              </w:rPr>
              <w:t xml:space="preserve">Resolved – That the next meeting of the YPO </w:t>
            </w:r>
            <w:r w:rsidR="00BD1FB1">
              <w:rPr>
                <w:rFonts w:ascii="Arial" w:hAnsi="Arial" w:cs="Arial"/>
                <w:b/>
                <w:sz w:val="24"/>
                <w:szCs w:val="24"/>
              </w:rPr>
              <w:t xml:space="preserve">Executive </w:t>
            </w:r>
            <w:r>
              <w:rPr>
                <w:rFonts w:ascii="Arial" w:hAnsi="Arial" w:cs="Arial"/>
                <w:b/>
                <w:sz w:val="24"/>
                <w:szCs w:val="24"/>
              </w:rPr>
              <w:t xml:space="preserve">Sub Committee will be held on </w:t>
            </w:r>
            <w:r w:rsidR="00BD1FB1">
              <w:rPr>
                <w:rFonts w:ascii="Arial" w:hAnsi="Arial" w:cs="Arial"/>
                <w:b/>
                <w:sz w:val="24"/>
                <w:szCs w:val="24"/>
              </w:rPr>
              <w:t>Friday 13</w:t>
            </w:r>
            <w:r w:rsidR="00BD1FB1" w:rsidRPr="00BD1FB1">
              <w:rPr>
                <w:rFonts w:ascii="Arial" w:hAnsi="Arial" w:cs="Arial"/>
                <w:b/>
                <w:sz w:val="24"/>
                <w:szCs w:val="24"/>
                <w:vertAlign w:val="superscript"/>
              </w:rPr>
              <w:t>th</w:t>
            </w:r>
            <w:r w:rsidR="00BD1FB1">
              <w:rPr>
                <w:rFonts w:ascii="Arial" w:hAnsi="Arial" w:cs="Arial"/>
                <w:b/>
                <w:sz w:val="24"/>
                <w:szCs w:val="24"/>
              </w:rPr>
              <w:t xml:space="preserve"> November </w:t>
            </w:r>
            <w:r>
              <w:rPr>
                <w:rFonts w:ascii="Arial" w:hAnsi="Arial" w:cs="Arial"/>
                <w:b/>
                <w:sz w:val="24"/>
                <w:szCs w:val="24"/>
              </w:rPr>
              <w:t xml:space="preserve">at </w:t>
            </w:r>
            <w:r w:rsidR="00BD1FB1">
              <w:rPr>
                <w:rFonts w:ascii="Arial" w:hAnsi="Arial" w:cs="Arial"/>
                <w:b/>
                <w:sz w:val="24"/>
                <w:szCs w:val="24"/>
              </w:rPr>
              <w:t>10.00</w:t>
            </w:r>
            <w:r>
              <w:rPr>
                <w:rFonts w:ascii="Arial" w:hAnsi="Arial" w:cs="Arial"/>
                <w:b/>
                <w:sz w:val="24"/>
                <w:szCs w:val="24"/>
              </w:rPr>
              <w:t>am</w:t>
            </w:r>
          </w:p>
        </w:tc>
      </w:tr>
      <w:tr w:rsidR="002F6C06" w:rsidTr="00DE2DAA">
        <w:tc>
          <w:tcPr>
            <w:tcW w:w="656" w:type="dxa"/>
          </w:tcPr>
          <w:p w:rsidR="002F6C06" w:rsidRDefault="002F6C06" w:rsidP="009D3046">
            <w:pPr>
              <w:jc w:val="both"/>
              <w:rPr>
                <w:rFonts w:ascii="Arial" w:hAnsi="Arial" w:cs="Arial"/>
                <w:b/>
                <w:sz w:val="24"/>
                <w:szCs w:val="24"/>
              </w:rPr>
            </w:pPr>
          </w:p>
        </w:tc>
        <w:tc>
          <w:tcPr>
            <w:tcW w:w="8586" w:type="dxa"/>
          </w:tcPr>
          <w:p w:rsidR="002F6C06" w:rsidRDefault="002F6C06" w:rsidP="009D3046">
            <w:pPr>
              <w:jc w:val="both"/>
              <w:rPr>
                <w:rFonts w:ascii="Arial" w:hAnsi="Arial" w:cs="Arial"/>
                <w:b/>
                <w:sz w:val="24"/>
                <w:szCs w:val="24"/>
              </w:rPr>
            </w:pPr>
          </w:p>
        </w:tc>
      </w:tr>
    </w:tbl>
    <w:p w:rsidR="00DE2DAA" w:rsidRPr="00DE2DAA" w:rsidRDefault="00DE2DAA" w:rsidP="00DE2DAA">
      <w:pPr>
        <w:jc w:val="both"/>
        <w:rPr>
          <w:rFonts w:ascii="Arial" w:hAnsi="Arial" w:cs="Arial"/>
          <w:b/>
          <w:sz w:val="24"/>
          <w:szCs w:val="24"/>
        </w:rPr>
      </w:pPr>
    </w:p>
    <w:sectPr w:rsidR="00DE2DAA" w:rsidRPr="00DE2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AA"/>
    <w:rsid w:val="002F6C06"/>
    <w:rsid w:val="003261D0"/>
    <w:rsid w:val="004B3F60"/>
    <w:rsid w:val="00583965"/>
    <w:rsid w:val="005E0210"/>
    <w:rsid w:val="00640216"/>
    <w:rsid w:val="00675407"/>
    <w:rsid w:val="006E6B71"/>
    <w:rsid w:val="00946573"/>
    <w:rsid w:val="009A20E2"/>
    <w:rsid w:val="00AB0101"/>
    <w:rsid w:val="00BA0F49"/>
    <w:rsid w:val="00BD1FB1"/>
    <w:rsid w:val="00DE2DAA"/>
    <w:rsid w:val="00DF3A21"/>
    <w:rsid w:val="00E23CD7"/>
    <w:rsid w:val="00F42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20E2"/>
    <w:rPr>
      <w:sz w:val="16"/>
      <w:szCs w:val="16"/>
    </w:rPr>
  </w:style>
  <w:style w:type="paragraph" w:styleId="CommentText">
    <w:name w:val="annotation text"/>
    <w:basedOn w:val="Normal"/>
    <w:link w:val="CommentTextChar"/>
    <w:uiPriority w:val="99"/>
    <w:semiHidden/>
    <w:unhideWhenUsed/>
    <w:rsid w:val="009A20E2"/>
    <w:pPr>
      <w:spacing w:line="240" w:lineRule="auto"/>
    </w:pPr>
    <w:rPr>
      <w:sz w:val="20"/>
      <w:szCs w:val="20"/>
    </w:rPr>
  </w:style>
  <w:style w:type="character" w:customStyle="1" w:styleId="CommentTextChar">
    <w:name w:val="Comment Text Char"/>
    <w:basedOn w:val="DefaultParagraphFont"/>
    <w:link w:val="CommentText"/>
    <w:uiPriority w:val="99"/>
    <w:semiHidden/>
    <w:rsid w:val="009A20E2"/>
    <w:rPr>
      <w:sz w:val="20"/>
      <w:szCs w:val="20"/>
    </w:rPr>
  </w:style>
  <w:style w:type="paragraph" w:styleId="CommentSubject">
    <w:name w:val="annotation subject"/>
    <w:basedOn w:val="CommentText"/>
    <w:next w:val="CommentText"/>
    <w:link w:val="CommentSubjectChar"/>
    <w:uiPriority w:val="99"/>
    <w:semiHidden/>
    <w:unhideWhenUsed/>
    <w:rsid w:val="009A20E2"/>
    <w:rPr>
      <w:b/>
      <w:bCs/>
    </w:rPr>
  </w:style>
  <w:style w:type="character" w:customStyle="1" w:styleId="CommentSubjectChar">
    <w:name w:val="Comment Subject Char"/>
    <w:basedOn w:val="CommentTextChar"/>
    <w:link w:val="CommentSubject"/>
    <w:uiPriority w:val="99"/>
    <w:semiHidden/>
    <w:rsid w:val="009A20E2"/>
    <w:rPr>
      <w:b/>
      <w:bCs/>
      <w:sz w:val="20"/>
      <w:szCs w:val="20"/>
    </w:rPr>
  </w:style>
  <w:style w:type="paragraph" w:styleId="BalloonText">
    <w:name w:val="Balloon Text"/>
    <w:basedOn w:val="Normal"/>
    <w:link w:val="BalloonTextChar"/>
    <w:uiPriority w:val="99"/>
    <w:semiHidden/>
    <w:unhideWhenUsed/>
    <w:rsid w:val="009A2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0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20E2"/>
    <w:rPr>
      <w:sz w:val="16"/>
      <w:szCs w:val="16"/>
    </w:rPr>
  </w:style>
  <w:style w:type="paragraph" w:styleId="CommentText">
    <w:name w:val="annotation text"/>
    <w:basedOn w:val="Normal"/>
    <w:link w:val="CommentTextChar"/>
    <w:uiPriority w:val="99"/>
    <w:semiHidden/>
    <w:unhideWhenUsed/>
    <w:rsid w:val="009A20E2"/>
    <w:pPr>
      <w:spacing w:line="240" w:lineRule="auto"/>
    </w:pPr>
    <w:rPr>
      <w:sz w:val="20"/>
      <w:szCs w:val="20"/>
    </w:rPr>
  </w:style>
  <w:style w:type="character" w:customStyle="1" w:styleId="CommentTextChar">
    <w:name w:val="Comment Text Char"/>
    <w:basedOn w:val="DefaultParagraphFont"/>
    <w:link w:val="CommentText"/>
    <w:uiPriority w:val="99"/>
    <w:semiHidden/>
    <w:rsid w:val="009A20E2"/>
    <w:rPr>
      <w:sz w:val="20"/>
      <w:szCs w:val="20"/>
    </w:rPr>
  </w:style>
  <w:style w:type="paragraph" w:styleId="CommentSubject">
    <w:name w:val="annotation subject"/>
    <w:basedOn w:val="CommentText"/>
    <w:next w:val="CommentText"/>
    <w:link w:val="CommentSubjectChar"/>
    <w:uiPriority w:val="99"/>
    <w:semiHidden/>
    <w:unhideWhenUsed/>
    <w:rsid w:val="009A20E2"/>
    <w:rPr>
      <w:b/>
      <w:bCs/>
    </w:rPr>
  </w:style>
  <w:style w:type="character" w:customStyle="1" w:styleId="CommentSubjectChar">
    <w:name w:val="Comment Subject Char"/>
    <w:basedOn w:val="CommentTextChar"/>
    <w:link w:val="CommentSubject"/>
    <w:uiPriority w:val="99"/>
    <w:semiHidden/>
    <w:rsid w:val="009A20E2"/>
    <w:rPr>
      <w:b/>
      <w:bCs/>
      <w:sz w:val="20"/>
      <w:szCs w:val="20"/>
    </w:rPr>
  </w:style>
  <w:style w:type="paragraph" w:styleId="BalloonText">
    <w:name w:val="Balloon Text"/>
    <w:basedOn w:val="Normal"/>
    <w:link w:val="BalloonTextChar"/>
    <w:uiPriority w:val="99"/>
    <w:semiHidden/>
    <w:unhideWhenUsed/>
    <w:rsid w:val="009A2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Robertshaw</dc:creator>
  <cp:lastModifiedBy>Lauren Ward</cp:lastModifiedBy>
  <cp:revision>6</cp:revision>
  <dcterms:created xsi:type="dcterms:W3CDTF">2015-06-08T09:17:00Z</dcterms:created>
  <dcterms:modified xsi:type="dcterms:W3CDTF">2015-06-09T09:57:00Z</dcterms:modified>
</cp:coreProperties>
</file>