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5898" w14:textId="740FABF1" w:rsidR="00281C91" w:rsidRPr="00AE40FC" w:rsidRDefault="005B65B5" w:rsidP="00281C91">
      <w:pPr>
        <w:rPr>
          <w:b/>
          <w:bCs/>
        </w:rPr>
      </w:pPr>
      <w:r w:rsidRPr="00AE40FC">
        <w:rPr>
          <w:b/>
          <w:bCs/>
        </w:rPr>
        <w:t>Circuit</w:t>
      </w:r>
      <w:r w:rsidR="00281C91" w:rsidRPr="00AE40FC">
        <w:rPr>
          <w:b/>
          <w:bCs/>
        </w:rPr>
        <w:t xml:space="preserve"> </w:t>
      </w:r>
      <w:r w:rsidRPr="00AE40FC">
        <w:rPr>
          <w:b/>
          <w:bCs/>
        </w:rPr>
        <w:t>C</w:t>
      </w:r>
      <w:r w:rsidR="00281C91" w:rsidRPr="00AE40FC">
        <w:rPr>
          <w:b/>
          <w:bCs/>
        </w:rPr>
        <w:t>overage</w:t>
      </w:r>
    </w:p>
    <w:p w14:paraId="60E3A4F8" w14:textId="60FC7C3F" w:rsidR="00281C91" w:rsidRDefault="00281C91" w:rsidP="00281C91">
      <w:r>
        <w:t xml:space="preserve">The following table illustrates the </w:t>
      </w:r>
      <w:r w:rsidR="00AE40FC">
        <w:t>Chambers</w:t>
      </w:r>
      <w:r>
        <w:t xml:space="preserve"> on the framework (in alphabetical order, they are not ranked in any way) and the </w:t>
      </w:r>
      <w:r w:rsidR="00AE40FC">
        <w:t>circuits</w:t>
      </w:r>
      <w:r>
        <w:t xml:space="preserve"> they are able to service under the scope of this framework.</w:t>
      </w:r>
    </w:p>
    <w:tbl>
      <w:tblPr>
        <w:tblStyle w:val="TableGri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90"/>
        <w:gridCol w:w="1591"/>
        <w:gridCol w:w="1591"/>
        <w:gridCol w:w="1591"/>
        <w:gridCol w:w="1590"/>
        <w:gridCol w:w="1591"/>
        <w:gridCol w:w="1591"/>
        <w:gridCol w:w="1591"/>
        <w:gridCol w:w="1591"/>
      </w:tblGrid>
      <w:tr w:rsidR="00281C91" w14:paraId="3CA98836" w14:textId="77777777" w:rsidTr="00281C91">
        <w:trPr>
          <w:trHeight w:val="766"/>
          <w:jc w:val="center"/>
        </w:trPr>
        <w:tc>
          <w:tcPr>
            <w:tcW w:w="1696" w:type="dxa"/>
          </w:tcPr>
          <w:p w14:paraId="183CB1B6" w14:textId="77777777" w:rsidR="00281C91" w:rsidRDefault="00281C91" w:rsidP="00314DAA"/>
        </w:tc>
        <w:tc>
          <w:tcPr>
            <w:tcW w:w="1590" w:type="dxa"/>
          </w:tcPr>
          <w:p w14:paraId="6B7A5101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33 Bedford Row</w:t>
            </w:r>
          </w:p>
        </w:tc>
        <w:tc>
          <w:tcPr>
            <w:tcW w:w="1591" w:type="dxa"/>
          </w:tcPr>
          <w:p w14:paraId="4E8294EA" w14:textId="0B8ADE72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Barrister Group (</w:t>
            </w:r>
            <w:r w:rsidRPr="00281C91">
              <w:rPr>
                <w:sz w:val="20"/>
                <w:szCs w:val="20"/>
              </w:rPr>
              <w:t>EAL Ltd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14:paraId="32123866" w14:textId="4D719CAB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Broadway House</w:t>
            </w:r>
          </w:p>
        </w:tc>
        <w:tc>
          <w:tcPr>
            <w:tcW w:w="1591" w:type="dxa"/>
          </w:tcPr>
          <w:p w14:paraId="0297B119" w14:textId="69991D9E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Francis Taylor Building</w:t>
            </w:r>
          </w:p>
        </w:tc>
        <w:tc>
          <w:tcPr>
            <w:tcW w:w="1590" w:type="dxa"/>
          </w:tcPr>
          <w:p w14:paraId="1071C8A1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Landmark Chambers</w:t>
            </w:r>
          </w:p>
        </w:tc>
        <w:tc>
          <w:tcPr>
            <w:tcW w:w="1591" w:type="dxa"/>
          </w:tcPr>
          <w:p w14:paraId="782A72F9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Parklane Plowden Chambers</w:t>
            </w:r>
          </w:p>
        </w:tc>
        <w:tc>
          <w:tcPr>
            <w:tcW w:w="1591" w:type="dxa"/>
          </w:tcPr>
          <w:p w14:paraId="0F89AAED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Spire Barristers</w:t>
            </w:r>
          </w:p>
        </w:tc>
        <w:tc>
          <w:tcPr>
            <w:tcW w:w="1591" w:type="dxa"/>
          </w:tcPr>
          <w:p w14:paraId="2F6F124D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St Johns Buildings</w:t>
            </w:r>
          </w:p>
        </w:tc>
        <w:tc>
          <w:tcPr>
            <w:tcW w:w="1591" w:type="dxa"/>
          </w:tcPr>
          <w:p w14:paraId="531DE365" w14:textId="77777777" w:rsidR="00281C91" w:rsidRPr="00281C91" w:rsidRDefault="00281C91" w:rsidP="00281C91">
            <w:pPr>
              <w:jc w:val="center"/>
              <w:rPr>
                <w:sz w:val="20"/>
                <w:szCs w:val="20"/>
              </w:rPr>
            </w:pPr>
            <w:r w:rsidRPr="00281C91">
              <w:rPr>
                <w:sz w:val="20"/>
                <w:szCs w:val="20"/>
              </w:rPr>
              <w:t>Trinity Chambers</w:t>
            </w:r>
          </w:p>
        </w:tc>
      </w:tr>
      <w:tr w:rsidR="00281C91" w14:paraId="382B6A0D" w14:textId="77777777" w:rsidTr="004C69B4">
        <w:trPr>
          <w:trHeight w:val="914"/>
          <w:jc w:val="center"/>
        </w:trPr>
        <w:tc>
          <w:tcPr>
            <w:tcW w:w="1696" w:type="dxa"/>
          </w:tcPr>
          <w:p w14:paraId="4EDB5662" w14:textId="77777777" w:rsidR="00281C91" w:rsidRDefault="00281C91" w:rsidP="00314DAA">
            <w:r>
              <w:t>Wales &amp; Chester</w:t>
            </w:r>
          </w:p>
        </w:tc>
        <w:tc>
          <w:tcPr>
            <w:tcW w:w="1590" w:type="dxa"/>
            <w:vAlign w:val="center"/>
          </w:tcPr>
          <w:p w14:paraId="4F8DD47A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0F1D3539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</w:tcPr>
          <w:p w14:paraId="2DF10B2A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6E8F8A92" w14:textId="000A8084" w:rsidR="00281C91" w:rsidRDefault="00281C91" w:rsidP="00281C9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3C3EC17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5E44FB4E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1769CE15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5113C0F0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DDD91B3" w14:textId="77777777" w:rsidR="00281C91" w:rsidRDefault="00281C91" w:rsidP="00281C91">
            <w:pPr>
              <w:jc w:val="center"/>
            </w:pPr>
          </w:p>
        </w:tc>
      </w:tr>
      <w:tr w:rsidR="00281C91" w14:paraId="6D27D499" w14:textId="77777777" w:rsidTr="004C69B4">
        <w:trPr>
          <w:trHeight w:val="914"/>
          <w:jc w:val="center"/>
        </w:trPr>
        <w:tc>
          <w:tcPr>
            <w:tcW w:w="1696" w:type="dxa"/>
          </w:tcPr>
          <w:p w14:paraId="74904F75" w14:textId="77777777" w:rsidR="00281C91" w:rsidRDefault="00281C91" w:rsidP="00314DAA">
            <w:r>
              <w:t>Western</w:t>
            </w:r>
          </w:p>
        </w:tc>
        <w:tc>
          <w:tcPr>
            <w:tcW w:w="1590" w:type="dxa"/>
            <w:vAlign w:val="center"/>
          </w:tcPr>
          <w:p w14:paraId="5F453A6E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DDF82C5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</w:tcPr>
          <w:p w14:paraId="047F16EC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02A8C697" w14:textId="1346217B" w:rsidR="00281C91" w:rsidRDefault="00281C91" w:rsidP="00281C9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FD74E9F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21EFF359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0D574FB0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6998C8CF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255C9E0B" w14:textId="77777777" w:rsidR="00281C91" w:rsidRDefault="00281C91" w:rsidP="00281C91">
            <w:pPr>
              <w:jc w:val="center"/>
            </w:pPr>
          </w:p>
        </w:tc>
      </w:tr>
      <w:tr w:rsidR="00281C91" w14:paraId="3A18BA33" w14:textId="77777777" w:rsidTr="004C69B4">
        <w:trPr>
          <w:trHeight w:val="914"/>
          <w:jc w:val="center"/>
        </w:trPr>
        <w:tc>
          <w:tcPr>
            <w:tcW w:w="1696" w:type="dxa"/>
          </w:tcPr>
          <w:p w14:paraId="2C13F229" w14:textId="77777777" w:rsidR="00281C91" w:rsidRDefault="00281C91" w:rsidP="00314DAA">
            <w:r>
              <w:t>Midlands</w:t>
            </w:r>
          </w:p>
        </w:tc>
        <w:tc>
          <w:tcPr>
            <w:tcW w:w="1590" w:type="dxa"/>
            <w:vAlign w:val="center"/>
          </w:tcPr>
          <w:p w14:paraId="143DDD0C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2455DA25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</w:tcPr>
          <w:p w14:paraId="61FAC917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0C9E8D8B" w14:textId="1A9F07CB" w:rsidR="00281C91" w:rsidRDefault="00281C91" w:rsidP="00281C9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39A8C7A4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1AFFB69F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5F0DB5A5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2BFE6A83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5A48E8D3" w14:textId="77777777" w:rsidR="00281C91" w:rsidRDefault="00281C91" w:rsidP="00281C91">
            <w:pPr>
              <w:jc w:val="center"/>
            </w:pPr>
            <w:r>
              <w:t>X</w:t>
            </w:r>
          </w:p>
        </w:tc>
      </w:tr>
      <w:tr w:rsidR="00281C91" w14:paraId="19472686" w14:textId="77777777" w:rsidTr="00AD4438">
        <w:trPr>
          <w:trHeight w:val="914"/>
          <w:jc w:val="center"/>
        </w:trPr>
        <w:tc>
          <w:tcPr>
            <w:tcW w:w="1696" w:type="dxa"/>
          </w:tcPr>
          <w:p w14:paraId="61ABFE4F" w14:textId="77777777" w:rsidR="00281C91" w:rsidRDefault="00281C91" w:rsidP="00314DAA">
            <w:r>
              <w:t>North-Eastern</w:t>
            </w:r>
          </w:p>
        </w:tc>
        <w:tc>
          <w:tcPr>
            <w:tcW w:w="1590" w:type="dxa"/>
            <w:vAlign w:val="center"/>
          </w:tcPr>
          <w:p w14:paraId="1E47F6FD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49DB1D07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6A29B394" w14:textId="648615E1" w:rsidR="00281C91" w:rsidRDefault="004F643D" w:rsidP="00AD4438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5F57C91" w14:textId="6D016918" w:rsidR="00281C91" w:rsidRDefault="00281C91" w:rsidP="00281C9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65B8BD83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B4B27B9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0D3FDBF2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65E59094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32E86A6A" w14:textId="77777777" w:rsidR="00281C91" w:rsidRDefault="00281C91" w:rsidP="00281C91">
            <w:pPr>
              <w:jc w:val="center"/>
            </w:pPr>
            <w:r>
              <w:t>X</w:t>
            </w:r>
          </w:p>
        </w:tc>
      </w:tr>
      <w:tr w:rsidR="00281C91" w14:paraId="2AA1B9EC" w14:textId="77777777" w:rsidTr="00AD4438">
        <w:trPr>
          <w:trHeight w:val="914"/>
          <w:jc w:val="center"/>
        </w:trPr>
        <w:tc>
          <w:tcPr>
            <w:tcW w:w="1696" w:type="dxa"/>
          </w:tcPr>
          <w:p w14:paraId="599D9721" w14:textId="77777777" w:rsidR="00281C91" w:rsidRDefault="00281C91" w:rsidP="00314DAA">
            <w:r>
              <w:t>Northern</w:t>
            </w:r>
          </w:p>
        </w:tc>
        <w:tc>
          <w:tcPr>
            <w:tcW w:w="1590" w:type="dxa"/>
            <w:vAlign w:val="center"/>
          </w:tcPr>
          <w:p w14:paraId="0DBBAC86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3D65ADB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5EF3B221" w14:textId="0702483C" w:rsidR="00281C91" w:rsidRDefault="004F643D" w:rsidP="00AD4438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01687D06" w14:textId="5CDB2A54" w:rsidR="00281C91" w:rsidRDefault="00281C91" w:rsidP="00281C9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2090ED3A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72E99DB0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0753698E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26052B27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2F554458" w14:textId="77777777" w:rsidR="00281C91" w:rsidRDefault="00281C91" w:rsidP="00281C91">
            <w:pPr>
              <w:jc w:val="center"/>
            </w:pPr>
            <w:r>
              <w:t>X</w:t>
            </w:r>
          </w:p>
          <w:p w14:paraId="752BC140" w14:textId="77777777" w:rsidR="00281C91" w:rsidRDefault="00281C91" w:rsidP="00281C91">
            <w:pPr>
              <w:jc w:val="center"/>
            </w:pPr>
          </w:p>
        </w:tc>
      </w:tr>
      <w:tr w:rsidR="00281C91" w14:paraId="177F77F3" w14:textId="77777777" w:rsidTr="004C69B4">
        <w:trPr>
          <w:trHeight w:val="914"/>
          <w:jc w:val="center"/>
        </w:trPr>
        <w:tc>
          <w:tcPr>
            <w:tcW w:w="1696" w:type="dxa"/>
          </w:tcPr>
          <w:p w14:paraId="19666E60" w14:textId="77777777" w:rsidR="00281C91" w:rsidRDefault="00281C91" w:rsidP="00314DAA">
            <w:r>
              <w:t>South-Eastern</w:t>
            </w:r>
          </w:p>
        </w:tc>
        <w:tc>
          <w:tcPr>
            <w:tcW w:w="1590" w:type="dxa"/>
            <w:vAlign w:val="center"/>
          </w:tcPr>
          <w:p w14:paraId="09A511F9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1CAF40AC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</w:tcPr>
          <w:p w14:paraId="5BEA87A6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0A50B757" w14:textId="46057F1E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0" w:type="dxa"/>
            <w:vAlign w:val="center"/>
          </w:tcPr>
          <w:p w14:paraId="55964890" w14:textId="77777777" w:rsidR="00281C91" w:rsidRDefault="00281C91" w:rsidP="00281C91">
            <w:pPr>
              <w:jc w:val="center"/>
            </w:pPr>
            <w:r>
              <w:t>X</w:t>
            </w:r>
          </w:p>
        </w:tc>
        <w:tc>
          <w:tcPr>
            <w:tcW w:w="1591" w:type="dxa"/>
            <w:vAlign w:val="center"/>
          </w:tcPr>
          <w:p w14:paraId="016AB2DA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55C164E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68D0A89E" w14:textId="77777777" w:rsidR="00281C91" w:rsidRDefault="00281C91" w:rsidP="00281C91">
            <w:pPr>
              <w:jc w:val="center"/>
            </w:pPr>
          </w:p>
        </w:tc>
        <w:tc>
          <w:tcPr>
            <w:tcW w:w="1591" w:type="dxa"/>
            <w:vAlign w:val="center"/>
          </w:tcPr>
          <w:p w14:paraId="27E1AB90" w14:textId="77777777" w:rsidR="00281C91" w:rsidRDefault="00281C91" w:rsidP="00281C91">
            <w:pPr>
              <w:jc w:val="center"/>
            </w:pPr>
          </w:p>
        </w:tc>
      </w:tr>
    </w:tbl>
    <w:p w14:paraId="14A4A874" w14:textId="77777777" w:rsidR="00F63564" w:rsidRDefault="00F63564"/>
    <w:sectPr w:rsidR="00F63564" w:rsidSect="00281C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91"/>
    <w:rsid w:val="00281C91"/>
    <w:rsid w:val="00333F30"/>
    <w:rsid w:val="00375815"/>
    <w:rsid w:val="004C69B4"/>
    <w:rsid w:val="004F643D"/>
    <w:rsid w:val="005B65B5"/>
    <w:rsid w:val="005D6D6A"/>
    <w:rsid w:val="00700FEB"/>
    <w:rsid w:val="00AD4438"/>
    <w:rsid w:val="00AE40FC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0B18"/>
  <w15:chartTrackingRefBased/>
  <w15:docId w15:val="{9EC94750-2104-4086-868B-76CE24B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91"/>
  </w:style>
  <w:style w:type="paragraph" w:styleId="Heading1">
    <w:name w:val="heading 1"/>
    <w:basedOn w:val="Normal"/>
    <w:next w:val="Normal"/>
    <w:link w:val="Heading1Char"/>
    <w:uiPriority w:val="9"/>
    <w:qFormat/>
    <w:rsid w:val="0028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B4E1AB56F44F8164EBF09FD4CC86" ma:contentTypeVersion="11" ma:contentTypeDescription="Create a new document." ma:contentTypeScope="" ma:versionID="9521737b4f9927b7e46ce98886e68e2e">
  <xsd:schema xmlns:xsd="http://www.w3.org/2001/XMLSchema" xmlns:xs="http://www.w3.org/2001/XMLSchema" xmlns:p="http://schemas.microsoft.com/office/2006/metadata/properties" xmlns:ns2="1b67403d-07cc-4c60-8ab4-ac24cdbe559e" xmlns:ns3="9b9c6f15-95ae-4a1f-8ae4-a190c7188193" targetNamespace="http://schemas.microsoft.com/office/2006/metadata/properties" ma:root="true" ma:fieldsID="f03951925926538a8cf974042d8121d4" ns2:_="" ns3:_="">
    <xsd:import namespace="1b67403d-07cc-4c60-8ab4-ac24cdbe559e"/>
    <xsd:import namespace="9b9c6f15-95ae-4a1f-8ae4-a190c71881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83c2339-50dc-4226-aa3b-ad5aed01d9c2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6f15-95ae-4a1f-8ae4-a190c7188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HD4H64AFNHYJ-375038149-330</_dlc_DocId>
    <lcf76f155ced4ddcb4097134ff3c332f xmlns="9b9c6f15-95ae-4a1f-8ae4-a190c7188193">
      <Terms xmlns="http://schemas.microsoft.com/office/infopath/2007/PartnerControls"/>
    </lcf76f155ced4ddcb4097134ff3c332f>
    <TaxCatchAll xmlns="1b67403d-07cc-4c60-8ab4-ac24cdbe559e" xsi:nil="true"/>
    <_dlc_DocIdUrl xmlns="1b67403d-07cc-4c60-8ab4-ac24cdbe559e">
      <Url>https://yorkshirepurchasing.sharepoint.com/sites/PS/CFS/_layouts/15/DocIdRedir.aspx?ID=HD4H64AFNHYJ-375038149-330</Url>
      <Description>HD4H64AFNHYJ-375038149-330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CED7CD-FBC4-4570-8D4C-16DCC35E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9b9c6f15-95ae-4a1f-8ae4-a190c7188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7525D-1438-478C-9B81-CDBC43D86C27}">
  <ds:schemaRefs>
    <ds:schemaRef ds:uri="http://schemas.microsoft.com/office/2006/metadata/properties"/>
    <ds:schemaRef ds:uri="http://schemas.microsoft.com/office/infopath/2007/PartnerControls"/>
    <ds:schemaRef ds:uri="1b67403d-07cc-4c60-8ab4-ac24cdbe559e"/>
    <ds:schemaRef ds:uri="9b9c6f15-95ae-4a1f-8ae4-a190c7188193"/>
  </ds:schemaRefs>
</ds:datastoreItem>
</file>

<file path=customXml/itemProps3.xml><?xml version="1.0" encoding="utf-8"?>
<ds:datastoreItem xmlns:ds="http://schemas.openxmlformats.org/officeDocument/2006/customXml" ds:itemID="{1D91B7EF-528D-4FD9-8793-04C2D5319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96137-2974-4071-9856-48B427ADBD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Whitehead</dc:creator>
  <cp:keywords/>
  <dc:description/>
  <cp:lastModifiedBy>Amy Whitehead</cp:lastModifiedBy>
  <cp:revision>6</cp:revision>
  <dcterms:created xsi:type="dcterms:W3CDTF">2026-01-06T15:57:00Z</dcterms:created>
  <dcterms:modified xsi:type="dcterms:W3CDTF">2026-01-07T09:31:00Z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0x010100C67AB4E1AB56F44F8164EBF09FD4CC86</vt:lpwstr>
  </property>
  <property fmtid="{D5CDD505-2E9C-101B-9397-08002B2CF9AE}" pid="4" name="_dlc_DocIdItemGuid">
    <vt:lpwstr>1e52e6fe-fc77-4b3e-a00e-1124866aeaad</vt:lpwstr>
  </property>
</Properties>
</file>